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A0911">
      <w:pPr>
        <w:spacing w:line="360" w:lineRule="auto"/>
        <w:jc w:val="center"/>
        <w:rPr>
          <w:rFonts w:ascii="宋体" w:hAnsi="宋体"/>
          <w:sz w:val="24"/>
        </w:rPr>
      </w:pPr>
    </w:p>
    <w:p w14:paraId="270E7014">
      <w:pPr>
        <w:spacing w:line="360" w:lineRule="auto"/>
        <w:jc w:val="center"/>
        <w:rPr>
          <w:rFonts w:ascii="宋体" w:hAnsi="宋体"/>
          <w:sz w:val="24"/>
        </w:rPr>
      </w:pPr>
    </w:p>
    <w:p w14:paraId="1E253F8D">
      <w:pPr>
        <w:spacing w:line="360" w:lineRule="auto"/>
        <w:jc w:val="center"/>
        <w:rPr>
          <w:rFonts w:ascii="宋体" w:hAnsi="宋体"/>
          <w:sz w:val="24"/>
        </w:rPr>
      </w:pPr>
    </w:p>
    <w:p w14:paraId="0D5DBFDD">
      <w:pPr>
        <w:spacing w:line="360" w:lineRule="auto"/>
        <w:jc w:val="center"/>
        <w:rPr>
          <w:rFonts w:ascii="宋体" w:hAnsi="宋体"/>
          <w:sz w:val="24"/>
        </w:rPr>
      </w:pPr>
    </w:p>
    <w:p w14:paraId="24E3D60A">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rPr>
      </w:pPr>
      <w:r>
        <w:rPr>
          <w:rFonts w:hint="eastAsia" w:ascii="方正小标宋简体" w:hAnsi="方正小标宋简体" w:eastAsia="方正小标宋简体" w:cs="Times New Roman"/>
          <w:color w:val="auto"/>
          <w:kern w:val="2"/>
          <w:sz w:val="44"/>
          <w:szCs w:val="22"/>
        </w:rPr>
        <w:t>2023年度内蒙古自治区鄂尔多斯市</w:t>
      </w:r>
    </w:p>
    <w:p w14:paraId="11EB7406">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lang w:val="en-US" w:eastAsia="zh-CN"/>
        </w:rPr>
      </w:pPr>
      <w:r>
        <w:rPr>
          <w:rFonts w:hint="eastAsia" w:ascii="方正小标宋简体" w:hAnsi="方正小标宋简体" w:eastAsia="方正小标宋简体" w:cs="Times New Roman"/>
          <w:color w:val="auto"/>
          <w:kern w:val="2"/>
          <w:sz w:val="44"/>
          <w:szCs w:val="22"/>
        </w:rPr>
        <w:t>科技事业服务中心</w:t>
      </w:r>
      <w:r>
        <w:rPr>
          <w:rFonts w:hint="eastAsia" w:ascii="方正小标宋简体" w:hAnsi="方正小标宋简体" w:eastAsia="方正小标宋简体" w:cs="Times New Roman"/>
          <w:color w:val="auto"/>
          <w:kern w:val="2"/>
          <w:sz w:val="44"/>
          <w:szCs w:val="22"/>
          <w:lang w:val="en-US" w:eastAsia="zh-CN"/>
        </w:rPr>
        <w:t>单位</w:t>
      </w:r>
    </w:p>
    <w:p w14:paraId="5897C506">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rPr>
      </w:pPr>
      <w:r>
        <w:rPr>
          <w:rFonts w:hint="eastAsia" w:ascii="方正小标宋简体" w:hAnsi="方正小标宋简体" w:eastAsia="方正小标宋简体" w:cs="Times New Roman"/>
          <w:color w:val="auto"/>
          <w:kern w:val="2"/>
          <w:sz w:val="44"/>
          <w:szCs w:val="22"/>
        </w:rPr>
        <w:t>公开文档</w:t>
      </w:r>
    </w:p>
    <w:p w14:paraId="0C84365A">
      <w:pPr>
        <w:spacing w:line="360" w:lineRule="auto"/>
        <w:jc w:val="center"/>
        <w:rPr>
          <w:rFonts w:ascii="宋体" w:hAnsi="宋体"/>
          <w:b/>
          <w:bCs/>
          <w:sz w:val="52"/>
          <w:szCs w:val="52"/>
        </w:rPr>
      </w:pPr>
    </w:p>
    <w:p w14:paraId="25592F52">
      <w:pPr>
        <w:spacing w:line="360" w:lineRule="auto"/>
        <w:jc w:val="center"/>
        <w:rPr>
          <w:rFonts w:ascii="宋体" w:hAnsi="宋体"/>
          <w:b/>
          <w:bCs/>
          <w:sz w:val="52"/>
          <w:szCs w:val="52"/>
        </w:rPr>
      </w:pPr>
    </w:p>
    <w:p w14:paraId="566A31C6">
      <w:pPr>
        <w:spacing w:line="360" w:lineRule="auto"/>
        <w:jc w:val="center"/>
        <w:rPr>
          <w:rFonts w:ascii="宋体" w:hAnsi="宋体"/>
          <w:b/>
          <w:bCs/>
          <w:sz w:val="52"/>
          <w:szCs w:val="52"/>
        </w:rPr>
      </w:pPr>
    </w:p>
    <w:p w14:paraId="7C1B03DD">
      <w:pPr>
        <w:spacing w:line="360" w:lineRule="auto"/>
        <w:jc w:val="center"/>
        <w:rPr>
          <w:rFonts w:ascii="宋体" w:hAnsi="宋体"/>
          <w:b/>
          <w:bCs/>
          <w:sz w:val="52"/>
          <w:szCs w:val="52"/>
        </w:rPr>
      </w:pPr>
    </w:p>
    <w:p w14:paraId="5DFCB111">
      <w:pPr>
        <w:spacing w:line="360" w:lineRule="auto"/>
        <w:jc w:val="center"/>
        <w:rPr>
          <w:rFonts w:ascii="宋体" w:hAnsi="宋体"/>
          <w:b/>
          <w:bCs/>
          <w:sz w:val="52"/>
          <w:szCs w:val="52"/>
        </w:rPr>
      </w:pPr>
    </w:p>
    <w:p w14:paraId="5A324231">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单位名称：内蒙古自治区鄂尔多斯市科技</w:t>
      </w:r>
    </w:p>
    <w:p w14:paraId="0B5B60D0">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业服务中心</w:t>
      </w:r>
    </w:p>
    <w:p w14:paraId="32EAE127">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单位负责人：程继东</w:t>
      </w:r>
    </w:p>
    <w:p w14:paraId="12C6392E">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财务负责人：郄红梅（代）</w:t>
      </w:r>
    </w:p>
    <w:p w14:paraId="06529A66">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编制人：吕挨梁</w:t>
      </w:r>
    </w:p>
    <w:p w14:paraId="472F0A42">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报送日期：2024年9月</w:t>
      </w:r>
    </w:p>
    <w:p w14:paraId="2CBC6EC8">
      <w:pPr>
        <w:spacing w:line="360" w:lineRule="auto"/>
        <w:ind w:firstLine="2240" w:firstLineChars="700"/>
        <w:jc w:val="left"/>
        <w:rPr>
          <w:rFonts w:hint="eastAsia" w:ascii="仿宋_GB2312" w:hAnsi="仿宋_GB2312" w:eastAsia="仿宋_GB2312" w:cs="仿宋_GB2312"/>
          <w:sz w:val="32"/>
          <w:szCs w:val="32"/>
        </w:rPr>
        <w:sectPr>
          <w:footerReference r:id="rId3" w:type="default"/>
          <w:pgSz w:w="11906" w:h="16838"/>
          <w:pgMar w:top="1440" w:right="1083" w:bottom="1440" w:left="1083" w:header="0" w:footer="720" w:gutter="0"/>
          <w:cols w:space="425" w:num="1"/>
          <w:docGrid w:type="lines" w:linePitch="312" w:charSpace="0"/>
        </w:sectPr>
      </w:pPr>
    </w:p>
    <w:p w14:paraId="6F3C5624">
      <w:pPr>
        <w:keepNext w:val="0"/>
        <w:keepLines w:val="0"/>
        <w:pageBreakBefore w:val="0"/>
        <w:widowControl/>
        <w:kinsoku/>
        <w:wordWrap/>
        <w:overflowPunct/>
        <w:topLinePunct w:val="0"/>
        <w:autoSpaceDE/>
        <w:autoSpaceDN/>
        <w:bidi w:val="0"/>
        <w:adjustRightInd/>
        <w:snapToGrid/>
        <w:ind w:firstLine="4322" w:firstLineChars="800"/>
        <w:jc w:val="both"/>
        <w:textAlignment w:val="auto"/>
        <w:rPr>
          <w:rFonts w:ascii="Times New Roman" w:hAnsi="Times New Roman" w:eastAsia="Times New Roman" w:cs="Times New Roman"/>
          <w:kern w:val="0"/>
          <w:sz w:val="24"/>
        </w:rPr>
      </w:pPr>
      <w:bookmarkStart w:id="0" w:name="a000"/>
      <w:r>
        <w:rPr>
          <w:rFonts w:hint="eastAsia" w:ascii="fang_song_gb2312" w:hAnsi="fang_song_gb2312" w:eastAsia="fang_song_gb2312" w:cs="fang_song_gb2312"/>
          <w:b/>
          <w:bCs/>
          <w:kern w:val="0"/>
          <w:sz w:val="54"/>
          <w:szCs w:val="54"/>
        </w:rPr>
        <w:t>目 录</w:t>
      </w:r>
    </w:p>
    <w:p w14:paraId="2C34CBF6">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u w:val="none"/>
        </w:rPr>
      </w:pPr>
      <w:r>
        <w:rPr>
          <w:rFonts w:ascii="黑体" w:hAnsi="黑体" w:eastAsia="黑体" w:cs="黑体"/>
          <w:kern w:val="0"/>
          <w:sz w:val="32"/>
          <w:szCs w:val="32"/>
          <w:u w:val="none"/>
        </w:rPr>
        <w:t>第一部分</w:t>
      </w:r>
      <w:r>
        <w:rPr>
          <w:rFonts w:hint="eastAsia" w:ascii="黑体" w:hAnsi="黑体" w:eastAsia="黑体" w:cs="黑体"/>
          <w:kern w:val="0"/>
          <w:sz w:val="32"/>
          <w:szCs w:val="32"/>
          <w:u w:val="none"/>
          <w:lang w:val="en-US" w:eastAsia="zh-CN"/>
        </w:rPr>
        <w:t xml:space="preserve"> </w:t>
      </w:r>
      <w:r>
        <w:rPr>
          <w:rFonts w:ascii="黑体" w:hAnsi="黑体" w:eastAsia="黑体" w:cs="黑体"/>
          <w:kern w:val="0"/>
          <w:sz w:val="32"/>
          <w:szCs w:val="32"/>
          <w:u w:val="none"/>
        </w:rPr>
        <w:t>单位概况</w:t>
      </w:r>
    </w:p>
    <w:p w14:paraId="08318DD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一、主要职能、职责</w:t>
      </w:r>
    </w:p>
    <w:p w14:paraId="3AD7486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二、单位机构设置及决算单位构成情况</w:t>
      </w:r>
    </w:p>
    <w:p w14:paraId="7A413E41">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三、2023年度单位主要工作完成情况</w:t>
      </w:r>
    </w:p>
    <w:p w14:paraId="335CF618">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u w:val="none"/>
        </w:rPr>
      </w:pPr>
      <w:r>
        <w:rPr>
          <w:rFonts w:ascii="黑体" w:hAnsi="黑体" w:eastAsia="黑体" w:cs="黑体"/>
          <w:kern w:val="0"/>
          <w:sz w:val="32"/>
          <w:szCs w:val="32"/>
          <w:u w:val="none"/>
        </w:rPr>
        <w:t>第二部分 单位决算情况说明</w:t>
      </w:r>
    </w:p>
    <w:p w14:paraId="4D5C355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一、收入支出决算总体情况说明</w:t>
      </w:r>
    </w:p>
    <w:p w14:paraId="4655A2F2">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二、收入决算情况说明</w:t>
      </w:r>
    </w:p>
    <w:p w14:paraId="61D547D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三、支出决算情况说明</w:t>
      </w:r>
    </w:p>
    <w:p w14:paraId="2954AE4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四、财政拨款收入支出决算总体情况说明</w:t>
      </w:r>
    </w:p>
    <w:p w14:paraId="2799678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五、一般公共预算财政拨款支出决算情况说明</w:t>
      </w:r>
    </w:p>
    <w:p w14:paraId="7937EDC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六、一般公共预算财政拨款基本支出决算情况说明</w:t>
      </w:r>
    </w:p>
    <w:p w14:paraId="7808BC9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七、一般公共预算财政拨款项目支出决算情况说明</w:t>
      </w:r>
    </w:p>
    <w:p w14:paraId="48B8EFD0">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八、财政拨款“三公”经费支出决算情况说明</w:t>
      </w:r>
    </w:p>
    <w:p w14:paraId="515E38F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九、政府性基金预算财政拨款支出决算情况说明</w:t>
      </w:r>
    </w:p>
    <w:p w14:paraId="4257204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十、国有资本经营预算财政拨款支出决算情况说明</w:t>
      </w:r>
    </w:p>
    <w:p w14:paraId="541F558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十一、机构运行经费支出决算情况说明</w:t>
      </w:r>
    </w:p>
    <w:p w14:paraId="4029896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十二、政府采购支出决算情况说明</w:t>
      </w:r>
    </w:p>
    <w:p w14:paraId="7849F93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十三、国有资产占用情况说明</w:t>
      </w:r>
    </w:p>
    <w:p w14:paraId="78C01C14">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十四、预算绩效情况说明</w:t>
      </w:r>
    </w:p>
    <w:p w14:paraId="0F94E1D8">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第三部分 名词解释</w:t>
      </w:r>
    </w:p>
    <w:p w14:paraId="6D339DD5">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第四部分 决算公开联系方式及信息反馈渠道</w:t>
      </w:r>
    </w:p>
    <w:p w14:paraId="3EFACCB3">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第五部分 单位决算表</w:t>
      </w:r>
    </w:p>
    <w:p w14:paraId="622CECE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14:paraId="7A825FF4">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二、收入决算表</w:t>
      </w:r>
    </w:p>
    <w:p w14:paraId="2B971BF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三、支出决算表</w:t>
      </w:r>
    </w:p>
    <w:p w14:paraId="63764E8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14:paraId="703B0604">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14:paraId="5395300E">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六、一般公共预算财政拨款基本支出决算明细表</w:t>
      </w:r>
    </w:p>
    <w:p w14:paraId="6D364BA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七、一般公共预算财政拨款项目支出决算明细表</w:t>
      </w:r>
    </w:p>
    <w:p w14:paraId="2429070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14:paraId="484E6DE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九、国有资本经营预算财政拨款支出决算表</w:t>
      </w:r>
    </w:p>
    <w:p w14:paraId="1CE0817E">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十、财政拨款“三公”经费支出决算表</w:t>
      </w:r>
    </w:p>
    <w:p w14:paraId="2C8F9CED">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fang_zheng_xiao_biao_song_ti" w:hAnsi="fang_zheng_xiao_biao_song_ti" w:eastAsia="fang_zheng_xiao_biao_song_ti" w:cs="fang_zheng_xiao_biao_song_ti"/>
          <w:b/>
          <w:bCs/>
          <w:color w:val="000000"/>
          <w:kern w:val="0"/>
          <w:sz w:val="36"/>
          <w:szCs w:val="36"/>
        </w:rPr>
      </w:pPr>
      <w:r>
        <w:rPr>
          <w:rFonts w:hint="eastAsia" w:ascii="仿宋_GB2312" w:hAnsi="仿宋_GB2312" w:eastAsia="仿宋_GB2312" w:cs="仿宋_GB2312"/>
          <w:kern w:val="0"/>
          <w:sz w:val="32"/>
          <w:szCs w:val="32"/>
        </w:rPr>
        <w:t>十一、机构运行经费支出、国有资产占用情况及政府采购支出信息表</w:t>
      </w:r>
    </w:p>
    <w:p w14:paraId="44F3216A">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6EC4D81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rPr>
        <w:t>一、主要职能、职责</w:t>
      </w:r>
    </w:p>
    <w:p w14:paraId="58570A80">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(一)协助局机关开展“互联网+政务”、网络安全、科技宣传、档案管理工作。</w:t>
      </w:r>
    </w:p>
    <w:p w14:paraId="5F904497">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(二)协助局机关开展办公用房、资产管理和物业管理等后勤服务保障工作。</w:t>
      </w:r>
    </w:p>
    <w:p w14:paraId="70053505">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(三)协助局机关开展科普宣传与科普统计、科技培训、科技会展等服务工作。</w:t>
      </w:r>
    </w:p>
    <w:p w14:paraId="2BA1EA0C">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(四)承担农牧业科技服务体系建设方面的辅助性、技术性工作，协助局机关开展科技特派员管理和服务工作。</w:t>
      </w:r>
    </w:p>
    <w:p w14:paraId="41E91C09">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(五)承担科技创新创业服务体系建设方面的辅助性、技术性工作，提供科技创新创业服务。</w:t>
      </w:r>
    </w:p>
    <w:p w14:paraId="08828C2E">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(六)承担科技成果转移转化服务体系建设方面的辅助性、技术性工作，提供成果转化和技术服务。 </w:t>
      </w:r>
    </w:p>
    <w:p w14:paraId="6F9F56B1">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(七)承担科技中介服务机构和行业组织的培育、服务等方面的辅助性工作。</w:t>
      </w:r>
    </w:p>
    <w:p w14:paraId="76FC1C8F">
      <w:pPr>
        <w:pageBreakBefore w:val="0"/>
        <w:widowControl/>
        <w:kinsoku/>
        <w:wordWrap/>
        <w:overflowPunct/>
        <w:topLinePunct w:val="0"/>
        <w:autoSpaceDE/>
        <w:autoSpaceDN/>
        <w:bidi w:val="0"/>
        <w:spacing w:before="240" w:after="240" w:line="560" w:lineRule="exact"/>
        <w:ind w:firstLine="640" w:firstLineChars="200"/>
        <w:textAlignment w:val="auto"/>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lang w:eastAsia="zh-CN"/>
        </w:rPr>
        <w:t>(八)承担市科学技术局交办的其他相关工作。</w:t>
      </w:r>
    </w:p>
    <w:p w14:paraId="7C73227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kai_ti_gb2312" w:hAnsi="kai_ti_gb2312" w:eastAsia="kai_ti_gb2312" w:cs="kai_ti_gb2312"/>
          <w:b w:val="0"/>
          <w:bCs w:val="0"/>
          <w:kern w:val="0"/>
          <w:sz w:val="32"/>
          <w:szCs w:val="32"/>
        </w:rPr>
        <w:t xml:space="preserve"> </w:t>
      </w:r>
      <w:r>
        <w:rPr>
          <w:rFonts w:hint="eastAsia" w:ascii="黑体" w:hAnsi="黑体" w:eastAsia="黑体" w:cs="黑体"/>
          <w:kern w:val="0"/>
          <w:sz w:val="32"/>
          <w:szCs w:val="32"/>
        </w:rPr>
        <w:t>二、单位机构设置及决算单位构成情况</w:t>
      </w:r>
    </w:p>
    <w:p w14:paraId="6978B616">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1.根据单位职责分工，本单位内设机构包括鄂尔多斯市科技事业服务中心。本单位</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下属单位。</w:t>
      </w:r>
    </w:p>
    <w:p w14:paraId="3C55450B">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2.从决算单位构成看，纳入本财政汇总决算编制范围的预算单位共计</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家，具体包括：鄂尔多斯市科技事业服务中心。详细情况见表：</w:t>
      </w:r>
    </w:p>
    <w:tbl>
      <w:tblPr>
        <w:tblStyle w:val="21"/>
        <w:tblW w:w="422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84"/>
        <w:gridCol w:w="4372"/>
        <w:gridCol w:w="3010"/>
      </w:tblGrid>
      <w:tr w14:paraId="6975804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535" w:type="pct"/>
            <w:tcBorders>
              <w:bottom w:val="inset" w:color="808080" w:sz="6" w:space="0"/>
              <w:right w:val="inset" w:color="808080" w:sz="6" w:space="0"/>
            </w:tcBorders>
            <w:noWrap w:val="0"/>
            <w:tcMar>
              <w:top w:w="22" w:type="dxa"/>
              <w:left w:w="22" w:type="dxa"/>
              <w:bottom w:w="22" w:type="dxa"/>
              <w:right w:w="22" w:type="dxa"/>
            </w:tcMar>
            <w:vAlign w:val="center"/>
          </w:tcPr>
          <w:p w14:paraId="5144C740">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序号</w:t>
            </w:r>
          </w:p>
        </w:tc>
        <w:tc>
          <w:tcPr>
            <w:tcW w:w="2644"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70168FD">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单位名称</w:t>
            </w:r>
          </w:p>
        </w:tc>
        <w:tc>
          <w:tcPr>
            <w:tcW w:w="1820" w:type="pct"/>
            <w:tcBorders>
              <w:left w:val="inset" w:color="808080" w:sz="6" w:space="0"/>
              <w:bottom w:val="inset" w:color="808080" w:sz="6" w:space="0"/>
            </w:tcBorders>
            <w:noWrap w:val="0"/>
            <w:tcMar>
              <w:top w:w="22" w:type="dxa"/>
              <w:left w:w="22" w:type="dxa"/>
              <w:bottom w:w="22" w:type="dxa"/>
              <w:right w:w="22" w:type="dxa"/>
            </w:tcMar>
            <w:vAlign w:val="center"/>
          </w:tcPr>
          <w:p w14:paraId="4176BA56">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单位性质</w:t>
            </w:r>
          </w:p>
        </w:tc>
      </w:tr>
      <w:tr w14:paraId="7FB26F3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35"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1572966">
            <w:pPr>
              <w:widowControl/>
              <w:jc w:val="center"/>
              <w:rPr>
                <w:rFonts w:hint="eastAsia" w:ascii="Times New Roman" w:hAnsi="Times New Roman" w:eastAsia="宋体" w:cs="Times New Roman"/>
                <w:b w:val="0"/>
                <w:bCs w:val="0"/>
                <w:i w:val="0"/>
                <w:iCs w:val="0"/>
                <w:smallCaps w:val="0"/>
                <w:color w:val="000000"/>
                <w:kern w:val="0"/>
                <w:sz w:val="24"/>
                <w:lang w:eastAsia="zh-CN"/>
              </w:rPr>
            </w:pPr>
            <w:r>
              <w:rPr>
                <w:rFonts w:hint="eastAsia" w:ascii="仿宋_GB2312" w:hAnsi="仿宋_GB2312" w:eastAsia="仿宋_GB2312" w:cs="仿宋_GB2312"/>
                <w:kern w:val="0"/>
                <w:sz w:val="32"/>
                <w:szCs w:val="32"/>
                <w:lang w:val="en-US" w:eastAsia="zh-CN"/>
              </w:rPr>
              <w:t>1</w:t>
            </w:r>
          </w:p>
        </w:tc>
        <w:tc>
          <w:tcPr>
            <w:tcW w:w="2644"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3C56A7B5">
            <w:pPr>
              <w:widowControl/>
              <w:jc w:val="left"/>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鄂尔多斯市科技事业服务中心</w:t>
            </w:r>
          </w:p>
        </w:tc>
        <w:tc>
          <w:tcPr>
            <w:tcW w:w="1820"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6238CC37">
            <w:pPr>
              <w:widowControl/>
              <w:jc w:val="left"/>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公益一类事业单位</w:t>
            </w:r>
          </w:p>
        </w:tc>
      </w:tr>
    </w:tbl>
    <w:p w14:paraId="45B941DB">
      <w:pPr>
        <w:pageBreakBefore w:val="0"/>
        <w:widowControl/>
        <w:kinsoku/>
        <w:wordWrap/>
        <w:overflowPunct/>
        <w:topLinePunct w:val="0"/>
        <w:autoSpaceDE/>
        <w:autoSpaceDN/>
        <w:bidi w:val="0"/>
        <w:spacing w:before="240" w:after="240"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我单位无下属单位</w:t>
      </w:r>
    </w:p>
    <w:p w14:paraId="6FC5E38C">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三、2023年度单位主要工作完成情况</w:t>
      </w:r>
    </w:p>
    <w:p w14:paraId="304EDB75">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强化科技创新服务</w:t>
      </w:r>
    </w:p>
    <w:p w14:paraId="7F871896">
      <w:pPr>
        <w:widowControl/>
        <w:spacing w:before="240" w:after="240"/>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kern w:val="0"/>
          <w:sz w:val="32"/>
          <w:szCs w:val="32"/>
          <w:u w:val="none"/>
        </w:rPr>
        <w:t>月</w:t>
      </w:r>
      <w:r>
        <w:rPr>
          <w:rFonts w:hint="eastAsia" w:ascii="仿宋_GB2312" w:hAnsi="仿宋_GB2312" w:eastAsia="仿宋_GB2312" w:cs="仿宋_GB2312"/>
          <w:kern w:val="0"/>
          <w:sz w:val="32"/>
          <w:szCs w:val="32"/>
          <w:u w:val="none"/>
          <w:lang w:val="en-US" w:eastAsia="zh-CN"/>
        </w:rPr>
        <w:t>—9</w:t>
      </w:r>
      <w:r>
        <w:rPr>
          <w:rFonts w:hint="eastAsia" w:ascii="仿宋_GB2312" w:hAnsi="仿宋_GB2312" w:eastAsia="仿宋_GB2312" w:cs="仿宋_GB2312"/>
          <w:kern w:val="0"/>
          <w:sz w:val="32"/>
          <w:szCs w:val="32"/>
          <w:u w:val="none"/>
        </w:rPr>
        <w:t>月开展</w:t>
      </w:r>
      <w:r>
        <w:rPr>
          <w:rFonts w:hint="eastAsia" w:ascii="仿宋_GB2312" w:hAnsi="仿宋_GB2312" w:eastAsia="仿宋_GB2312" w:cs="仿宋_GB2312"/>
          <w:kern w:val="0"/>
          <w:sz w:val="32"/>
          <w:szCs w:val="32"/>
          <w:u w:val="none"/>
          <w:lang w:eastAsia="zh-CN"/>
        </w:rPr>
        <w:t>了</w:t>
      </w:r>
      <w:r>
        <w:rPr>
          <w:rFonts w:hint="eastAsia" w:ascii="仿宋_GB2312" w:hAnsi="仿宋_GB2312" w:eastAsia="仿宋_GB2312" w:cs="仿宋_GB2312"/>
          <w:kern w:val="0"/>
          <w:sz w:val="32"/>
          <w:szCs w:val="32"/>
          <w:u w:val="none"/>
        </w:rPr>
        <w:t>首届“鄂尔多斯杯”创新创业大赛，共有来自英国、德国、中国香港以及全国各地</w:t>
      </w:r>
      <w:r>
        <w:rPr>
          <w:rFonts w:hint="eastAsia" w:ascii="仿宋_GB2312" w:hAnsi="仿宋_GB2312" w:eastAsia="仿宋_GB2312" w:cs="仿宋_GB2312"/>
          <w:kern w:val="0"/>
          <w:sz w:val="32"/>
          <w:szCs w:val="32"/>
          <w:u w:val="none"/>
          <w:lang w:val="en-US" w:eastAsia="zh-CN"/>
        </w:rPr>
        <w:t>42</w:t>
      </w:r>
      <w:r>
        <w:rPr>
          <w:rFonts w:hint="eastAsia" w:ascii="仿宋_GB2312" w:hAnsi="仿宋_GB2312" w:eastAsia="仿宋_GB2312" w:cs="仿宋_GB2312"/>
          <w:kern w:val="0"/>
          <w:sz w:val="32"/>
          <w:szCs w:val="32"/>
          <w:u w:val="none"/>
        </w:rPr>
        <w:t>个城市的</w:t>
      </w:r>
      <w:r>
        <w:rPr>
          <w:rFonts w:hint="eastAsia" w:ascii="仿宋_GB2312" w:hAnsi="仿宋_GB2312" w:eastAsia="仿宋_GB2312" w:cs="仿宋_GB2312"/>
          <w:kern w:val="0"/>
          <w:sz w:val="32"/>
          <w:szCs w:val="32"/>
          <w:u w:val="none"/>
          <w:lang w:val="en-US" w:eastAsia="zh-CN"/>
        </w:rPr>
        <w:t>443</w:t>
      </w:r>
      <w:r>
        <w:rPr>
          <w:rFonts w:hint="eastAsia" w:ascii="仿宋_GB2312" w:hAnsi="仿宋_GB2312" w:eastAsia="仿宋_GB2312" w:cs="仿宋_GB2312"/>
          <w:kern w:val="0"/>
          <w:sz w:val="32"/>
          <w:szCs w:val="32"/>
          <w:u w:val="none"/>
        </w:rPr>
        <w:t>个项目报名参赛，其中海外项目</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个，院士项目</w:t>
      </w:r>
      <w:r>
        <w:rPr>
          <w:rFonts w:hint="eastAsia" w:ascii="仿宋_GB2312" w:hAnsi="仿宋_GB2312" w:eastAsia="仿宋_GB2312" w:cs="仿宋_GB2312"/>
          <w:kern w:val="0"/>
          <w:sz w:val="32"/>
          <w:szCs w:val="32"/>
          <w:u w:val="none"/>
          <w:lang w:val="en-US" w:eastAsia="zh-CN"/>
        </w:rPr>
        <w:t>10</w:t>
      </w:r>
      <w:r>
        <w:rPr>
          <w:rFonts w:hint="eastAsia" w:ascii="仿宋_GB2312" w:hAnsi="仿宋_GB2312" w:eastAsia="仿宋_GB2312" w:cs="仿宋_GB2312"/>
          <w:kern w:val="0"/>
          <w:sz w:val="32"/>
          <w:szCs w:val="32"/>
          <w:u w:val="none"/>
        </w:rPr>
        <w:t>个，最终决出全球引智组、鄂尔多斯科创组一二三等奖和优秀奖</w:t>
      </w:r>
      <w:r>
        <w:rPr>
          <w:rFonts w:hint="eastAsia" w:ascii="仿宋_GB2312" w:hAnsi="仿宋_GB2312" w:eastAsia="仿宋_GB2312" w:cs="仿宋_GB2312"/>
          <w:kern w:val="0"/>
          <w:sz w:val="32"/>
          <w:szCs w:val="32"/>
          <w:u w:val="none"/>
          <w:lang w:val="en-US" w:eastAsia="zh-CN"/>
        </w:rPr>
        <w:t>30</w:t>
      </w:r>
      <w:r>
        <w:rPr>
          <w:rFonts w:hint="eastAsia" w:ascii="仿宋_GB2312" w:hAnsi="仿宋_GB2312" w:eastAsia="仿宋_GB2312" w:cs="仿宋_GB2312"/>
          <w:kern w:val="0"/>
          <w:sz w:val="32"/>
          <w:szCs w:val="32"/>
          <w:u w:val="none"/>
        </w:rPr>
        <w:t>名，获奖总金额为</w:t>
      </w:r>
      <w:r>
        <w:rPr>
          <w:rFonts w:hint="eastAsia" w:ascii="仿宋_GB2312" w:hAnsi="仿宋_GB2312" w:eastAsia="仿宋_GB2312" w:cs="仿宋_GB2312"/>
          <w:kern w:val="0"/>
          <w:sz w:val="32"/>
          <w:szCs w:val="32"/>
          <w:u w:val="none"/>
          <w:lang w:val="en-US" w:eastAsia="zh-CN"/>
        </w:rPr>
        <w:t>880</w:t>
      </w:r>
      <w:r>
        <w:rPr>
          <w:rFonts w:hint="eastAsia" w:ascii="仿宋_GB2312" w:hAnsi="仿宋_GB2312" w:eastAsia="仿宋_GB2312" w:cs="仿宋_GB2312"/>
          <w:kern w:val="0"/>
          <w:sz w:val="32"/>
          <w:szCs w:val="32"/>
          <w:u w:val="none"/>
        </w:rPr>
        <w:t>万元，参赛项目共收到投资机构投资邀约函</w:t>
      </w:r>
      <w:r>
        <w:rPr>
          <w:rFonts w:hint="eastAsia" w:ascii="仿宋_GB2312" w:hAnsi="仿宋_GB2312" w:eastAsia="仿宋_GB2312" w:cs="仿宋_GB2312"/>
          <w:kern w:val="0"/>
          <w:sz w:val="32"/>
          <w:szCs w:val="32"/>
          <w:u w:val="none"/>
          <w:lang w:val="en-US" w:eastAsia="zh-CN"/>
        </w:rPr>
        <w:t>187</w:t>
      </w:r>
      <w:r>
        <w:rPr>
          <w:rFonts w:hint="eastAsia" w:ascii="仿宋_GB2312" w:hAnsi="仿宋_GB2312" w:eastAsia="仿宋_GB2312" w:cs="仿宋_GB2312"/>
          <w:kern w:val="0"/>
          <w:sz w:val="32"/>
          <w:szCs w:val="32"/>
          <w:u w:val="none"/>
        </w:rPr>
        <w:t>份，大赛累计曝光量超过</w:t>
      </w:r>
      <w:r>
        <w:rPr>
          <w:rFonts w:hint="eastAsia" w:ascii="仿宋_GB2312" w:hAnsi="仿宋_GB2312" w:eastAsia="仿宋_GB2312" w:cs="仿宋_GB2312"/>
          <w:kern w:val="0"/>
          <w:sz w:val="32"/>
          <w:szCs w:val="32"/>
          <w:u w:val="none"/>
          <w:lang w:val="en-US" w:eastAsia="zh-CN"/>
        </w:rPr>
        <w:t>2300</w:t>
      </w:r>
      <w:r>
        <w:rPr>
          <w:rFonts w:hint="eastAsia" w:ascii="仿宋_GB2312" w:hAnsi="仿宋_GB2312" w:eastAsia="仿宋_GB2312" w:cs="仿宋_GB2312"/>
          <w:kern w:val="0"/>
          <w:sz w:val="32"/>
          <w:szCs w:val="32"/>
          <w:u w:val="none"/>
        </w:rPr>
        <w:t>万人次。通过大赛，已有</w:t>
      </w:r>
      <w:r>
        <w:rPr>
          <w:rFonts w:hint="eastAsia" w:ascii="仿宋_GB2312" w:hAnsi="仿宋_GB2312" w:eastAsia="仿宋_GB2312" w:cs="仿宋_GB2312"/>
          <w:kern w:val="0"/>
          <w:sz w:val="32"/>
          <w:szCs w:val="32"/>
          <w:u w:val="none"/>
          <w:lang w:val="en-US" w:eastAsia="zh-CN"/>
        </w:rPr>
        <w:t>12</w:t>
      </w:r>
      <w:r>
        <w:rPr>
          <w:rFonts w:hint="eastAsia" w:ascii="仿宋_GB2312" w:hAnsi="仿宋_GB2312" w:eastAsia="仿宋_GB2312" w:cs="仿宋_GB2312"/>
          <w:kern w:val="0"/>
          <w:sz w:val="32"/>
          <w:szCs w:val="32"/>
          <w:u w:val="none"/>
        </w:rPr>
        <w:t>个市外获奖项目注册落地我市</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其中包括</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个院士项目，</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个国家级专精特新</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小巨人</w:t>
      </w:r>
      <w:r>
        <w:rPr>
          <w:rFonts w:hint="eastAsia" w:ascii="仿宋_GB2312" w:hAnsi="仿宋_GB2312" w:eastAsia="仿宋_GB2312" w:cs="仿宋_GB2312"/>
          <w:kern w:val="0"/>
          <w:sz w:val="32"/>
          <w:szCs w:val="32"/>
          <w:u w:val="none"/>
          <w:lang w:eastAsia="zh-CN"/>
        </w:rPr>
        <w:t>”</w:t>
      </w:r>
      <w:bookmarkStart w:id="1" w:name="_GoBack"/>
      <w:bookmarkEnd w:id="1"/>
      <w:r>
        <w:rPr>
          <w:rFonts w:hint="eastAsia" w:ascii="仿宋_GB2312" w:hAnsi="仿宋_GB2312" w:eastAsia="仿宋_GB2312" w:cs="仿宋_GB2312"/>
          <w:kern w:val="0"/>
          <w:sz w:val="32"/>
          <w:szCs w:val="32"/>
          <w:u w:val="none"/>
        </w:rPr>
        <w:t>企业。</w:t>
      </w:r>
    </w:p>
    <w:p w14:paraId="6F842312">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推动平台载体建设</w:t>
      </w:r>
    </w:p>
    <w:p w14:paraId="133B8050">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持续加强市科技创业服务中心企业入驻孵化工作，全年新入驻孵化企业</w:t>
      </w:r>
      <w:r>
        <w:rPr>
          <w:rFonts w:hint="eastAsia" w:ascii="仿宋_GB2312" w:hAnsi="仿宋_GB2312" w:eastAsia="仿宋_GB2312" w:cs="仿宋_GB2312"/>
          <w:kern w:val="0"/>
          <w:sz w:val="32"/>
          <w:szCs w:val="32"/>
          <w:u w:val="none"/>
          <w:lang w:val="en-US" w:eastAsia="zh-CN"/>
        </w:rPr>
        <w:t>26</w:t>
      </w:r>
      <w:r>
        <w:rPr>
          <w:rFonts w:hint="eastAsia" w:ascii="仿宋_GB2312" w:hAnsi="仿宋_GB2312" w:eastAsia="仿宋_GB2312" w:cs="仿宋_GB2312"/>
          <w:kern w:val="0"/>
          <w:sz w:val="32"/>
          <w:szCs w:val="32"/>
          <w:u w:val="none"/>
        </w:rPr>
        <w:t>家，其中物理孵化</w:t>
      </w:r>
      <w:r>
        <w:rPr>
          <w:rFonts w:hint="eastAsia" w:ascii="仿宋_GB2312" w:hAnsi="仿宋_GB2312" w:eastAsia="仿宋_GB2312" w:cs="仿宋_GB2312"/>
          <w:kern w:val="0"/>
          <w:sz w:val="32"/>
          <w:szCs w:val="32"/>
          <w:u w:val="none"/>
          <w:lang w:val="en-US" w:eastAsia="zh-CN"/>
        </w:rPr>
        <w:t>16</w:t>
      </w:r>
      <w:r>
        <w:rPr>
          <w:rFonts w:hint="eastAsia" w:ascii="仿宋_GB2312" w:hAnsi="仿宋_GB2312" w:eastAsia="仿宋_GB2312" w:cs="仿宋_GB2312"/>
          <w:kern w:val="0"/>
          <w:sz w:val="32"/>
          <w:szCs w:val="32"/>
          <w:u w:val="none"/>
        </w:rPr>
        <w:t>家，虚拟孵化</w:t>
      </w:r>
      <w:r>
        <w:rPr>
          <w:rFonts w:hint="eastAsia" w:ascii="仿宋_GB2312" w:hAnsi="仿宋_GB2312" w:eastAsia="仿宋_GB2312" w:cs="仿宋_GB2312"/>
          <w:kern w:val="0"/>
          <w:sz w:val="32"/>
          <w:szCs w:val="32"/>
          <w:u w:val="none"/>
          <w:lang w:val="en-US" w:eastAsia="zh-CN"/>
        </w:rPr>
        <w:t>10</w:t>
      </w:r>
      <w:r>
        <w:rPr>
          <w:rFonts w:hint="eastAsia" w:ascii="仿宋_GB2312" w:hAnsi="仿宋_GB2312" w:eastAsia="仿宋_GB2312" w:cs="仿宋_GB2312"/>
          <w:kern w:val="0"/>
          <w:sz w:val="32"/>
          <w:szCs w:val="32"/>
          <w:u w:val="none"/>
        </w:rPr>
        <w:t>家。一年来，共申请发明专利</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项；申请实用新型专利</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项，现已授权实用新型专利</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项；申请软件著作权</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项，现已授权软件著作权</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家企业已入库科技型中小企业，</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家已申报高新技术企业。积极推动市人才科创中心“蒙科聚”鄂尔多斯科技成果转化平台建设，委托西安科技大市场创新云服务股份有限公司开展市场化运维。线上平台持续优化调整，已将旗区人才飞地纳入到科技成果转化平台技术经济人队伍中，建立了平台运维机构和旗区、企业的协调运行机制，初步搭建起科研院所-平台-技术经济人-企业的成果转化网络。平台常态化开展企业技术需求和科技成果征集，</w:t>
      </w:r>
      <w:r>
        <w:rPr>
          <w:rFonts w:hint="eastAsia" w:ascii="仿宋_GB2312" w:hAnsi="仿宋_GB2312" w:eastAsia="仿宋_GB2312" w:cs="仿宋_GB2312"/>
          <w:kern w:val="0"/>
          <w:sz w:val="32"/>
          <w:szCs w:val="32"/>
          <w:u w:val="none"/>
          <w:lang w:eastAsia="zh-CN"/>
        </w:rPr>
        <w:t>截至目前</w:t>
      </w:r>
      <w:r>
        <w:rPr>
          <w:rFonts w:hint="eastAsia" w:ascii="仿宋_GB2312" w:hAnsi="仿宋_GB2312" w:eastAsia="仿宋_GB2312" w:cs="仿宋_GB2312"/>
          <w:kern w:val="0"/>
          <w:sz w:val="32"/>
          <w:szCs w:val="32"/>
          <w:u w:val="none"/>
        </w:rPr>
        <w:t>，线上平台已累计上传技术需求</w:t>
      </w:r>
      <w:r>
        <w:rPr>
          <w:rFonts w:hint="eastAsia" w:ascii="仿宋_GB2312" w:hAnsi="仿宋_GB2312" w:eastAsia="仿宋_GB2312" w:cs="仿宋_GB2312"/>
          <w:kern w:val="0"/>
          <w:sz w:val="32"/>
          <w:szCs w:val="32"/>
          <w:u w:val="none"/>
          <w:lang w:val="en-US" w:eastAsia="zh-CN"/>
        </w:rPr>
        <w:t>96</w:t>
      </w:r>
      <w:r>
        <w:rPr>
          <w:rFonts w:hint="eastAsia" w:ascii="仿宋_GB2312" w:hAnsi="仿宋_GB2312" w:eastAsia="仿宋_GB2312" w:cs="仿宋_GB2312"/>
          <w:kern w:val="0"/>
          <w:sz w:val="32"/>
          <w:szCs w:val="32"/>
          <w:u w:val="none"/>
        </w:rPr>
        <w:t>项、科技成果</w:t>
      </w:r>
      <w:r>
        <w:rPr>
          <w:rFonts w:hint="eastAsia" w:ascii="仿宋_GB2312" w:hAnsi="仿宋_GB2312" w:eastAsia="仿宋_GB2312" w:cs="仿宋_GB2312"/>
          <w:kern w:val="0"/>
          <w:sz w:val="32"/>
          <w:szCs w:val="32"/>
          <w:u w:val="none"/>
          <w:lang w:val="en-US" w:eastAsia="zh-CN"/>
        </w:rPr>
        <w:t>469</w:t>
      </w:r>
      <w:r>
        <w:rPr>
          <w:rFonts w:hint="eastAsia" w:ascii="仿宋_GB2312" w:hAnsi="仿宋_GB2312" w:eastAsia="仿宋_GB2312" w:cs="仿宋_GB2312"/>
          <w:kern w:val="0"/>
          <w:sz w:val="32"/>
          <w:szCs w:val="32"/>
          <w:u w:val="none"/>
        </w:rPr>
        <w:t>项、人才需求</w:t>
      </w:r>
      <w:r>
        <w:rPr>
          <w:rFonts w:hint="eastAsia" w:ascii="仿宋_GB2312" w:hAnsi="仿宋_GB2312" w:eastAsia="仿宋_GB2312" w:cs="仿宋_GB2312"/>
          <w:kern w:val="0"/>
          <w:sz w:val="32"/>
          <w:szCs w:val="32"/>
          <w:u w:val="none"/>
          <w:lang w:val="en-US" w:eastAsia="zh-CN"/>
        </w:rPr>
        <w:t>120</w:t>
      </w:r>
      <w:r>
        <w:rPr>
          <w:rFonts w:hint="eastAsia" w:ascii="仿宋_GB2312" w:hAnsi="仿宋_GB2312" w:eastAsia="仿宋_GB2312" w:cs="仿宋_GB2312"/>
          <w:kern w:val="0"/>
          <w:sz w:val="32"/>
          <w:szCs w:val="32"/>
          <w:u w:val="none"/>
        </w:rPr>
        <w:t>条、科技政策</w:t>
      </w:r>
      <w:r>
        <w:rPr>
          <w:rFonts w:hint="eastAsia" w:ascii="仿宋_GB2312" w:hAnsi="仿宋_GB2312" w:eastAsia="仿宋_GB2312" w:cs="仿宋_GB2312"/>
          <w:kern w:val="0"/>
          <w:sz w:val="32"/>
          <w:szCs w:val="32"/>
          <w:u w:val="none"/>
          <w:lang w:val="en-US" w:eastAsia="zh-CN"/>
        </w:rPr>
        <w:t>47</w:t>
      </w:r>
      <w:r>
        <w:rPr>
          <w:rFonts w:hint="eastAsia" w:ascii="仿宋_GB2312" w:hAnsi="仿宋_GB2312" w:eastAsia="仿宋_GB2312" w:cs="仿宋_GB2312"/>
          <w:kern w:val="0"/>
          <w:sz w:val="32"/>
          <w:szCs w:val="32"/>
          <w:u w:val="none"/>
        </w:rPr>
        <w:t>条、科技人才</w:t>
      </w:r>
      <w:r>
        <w:rPr>
          <w:rFonts w:hint="eastAsia" w:ascii="仿宋_GB2312" w:hAnsi="仿宋_GB2312" w:eastAsia="仿宋_GB2312" w:cs="仿宋_GB2312"/>
          <w:kern w:val="0"/>
          <w:sz w:val="32"/>
          <w:szCs w:val="32"/>
          <w:u w:val="none"/>
          <w:lang w:val="en-US" w:eastAsia="zh-CN"/>
        </w:rPr>
        <w:t>123</w:t>
      </w:r>
      <w:r>
        <w:rPr>
          <w:rFonts w:hint="eastAsia" w:ascii="仿宋_GB2312" w:hAnsi="仿宋_GB2312" w:eastAsia="仿宋_GB2312" w:cs="仿宋_GB2312"/>
          <w:kern w:val="0"/>
          <w:sz w:val="32"/>
          <w:szCs w:val="32"/>
          <w:u w:val="none"/>
        </w:rPr>
        <w:t>位、科技机构</w:t>
      </w:r>
      <w:r>
        <w:rPr>
          <w:rFonts w:hint="eastAsia" w:ascii="仿宋_GB2312" w:hAnsi="仿宋_GB2312" w:eastAsia="仿宋_GB2312" w:cs="仿宋_GB2312"/>
          <w:kern w:val="0"/>
          <w:sz w:val="32"/>
          <w:szCs w:val="32"/>
          <w:u w:val="none"/>
          <w:lang w:val="en-US" w:eastAsia="zh-CN"/>
        </w:rPr>
        <w:t>31</w:t>
      </w:r>
      <w:r>
        <w:rPr>
          <w:rFonts w:hint="eastAsia" w:ascii="仿宋_GB2312" w:hAnsi="仿宋_GB2312" w:eastAsia="仿宋_GB2312" w:cs="仿宋_GB2312"/>
          <w:kern w:val="0"/>
          <w:sz w:val="32"/>
          <w:szCs w:val="32"/>
          <w:u w:val="none"/>
        </w:rPr>
        <w:t>家、共享仪器</w:t>
      </w:r>
      <w:r>
        <w:rPr>
          <w:rFonts w:hint="eastAsia" w:ascii="仿宋_GB2312" w:hAnsi="仿宋_GB2312" w:eastAsia="仿宋_GB2312" w:cs="仿宋_GB2312"/>
          <w:kern w:val="0"/>
          <w:sz w:val="32"/>
          <w:szCs w:val="32"/>
          <w:u w:val="none"/>
          <w:lang w:val="en-US" w:eastAsia="zh-CN"/>
        </w:rPr>
        <w:t>91</w:t>
      </w:r>
      <w:r>
        <w:rPr>
          <w:rFonts w:hint="eastAsia" w:ascii="仿宋_GB2312" w:hAnsi="仿宋_GB2312" w:eastAsia="仿宋_GB2312" w:cs="仿宋_GB2312"/>
          <w:kern w:val="0"/>
          <w:sz w:val="32"/>
          <w:szCs w:val="32"/>
          <w:u w:val="none"/>
        </w:rPr>
        <w:t>套，并已发布</w:t>
      </w:r>
      <w:r>
        <w:rPr>
          <w:rFonts w:hint="eastAsia" w:ascii="仿宋_GB2312" w:hAnsi="仿宋_GB2312" w:eastAsia="仿宋_GB2312" w:cs="仿宋_GB2312"/>
          <w:kern w:val="0"/>
          <w:sz w:val="32"/>
          <w:szCs w:val="32"/>
          <w:u w:val="none"/>
          <w:lang w:val="en-US" w:eastAsia="zh-CN"/>
        </w:rPr>
        <w:t>145</w:t>
      </w:r>
      <w:r>
        <w:rPr>
          <w:rFonts w:hint="eastAsia" w:ascii="仿宋_GB2312" w:hAnsi="仿宋_GB2312" w:eastAsia="仿宋_GB2312" w:cs="仿宋_GB2312"/>
          <w:kern w:val="0"/>
          <w:sz w:val="32"/>
          <w:szCs w:val="32"/>
          <w:u w:val="none"/>
        </w:rPr>
        <w:t>篇资讯，其中包括</w:t>
      </w:r>
      <w:r>
        <w:rPr>
          <w:rFonts w:hint="eastAsia" w:ascii="仿宋_GB2312" w:hAnsi="仿宋_GB2312" w:eastAsia="仿宋_GB2312" w:cs="仿宋_GB2312"/>
          <w:kern w:val="0"/>
          <w:sz w:val="32"/>
          <w:szCs w:val="32"/>
          <w:u w:val="none"/>
          <w:lang w:val="en-US" w:eastAsia="zh-CN"/>
        </w:rPr>
        <w:t>119</w:t>
      </w:r>
      <w:r>
        <w:rPr>
          <w:rFonts w:hint="eastAsia" w:ascii="仿宋_GB2312" w:hAnsi="仿宋_GB2312" w:eastAsia="仿宋_GB2312" w:cs="仿宋_GB2312"/>
          <w:kern w:val="0"/>
          <w:sz w:val="32"/>
          <w:szCs w:val="32"/>
          <w:u w:val="none"/>
        </w:rPr>
        <w:t>篇新闻，</w:t>
      </w:r>
      <w:r>
        <w:rPr>
          <w:rFonts w:hint="eastAsia" w:ascii="仿宋_GB2312" w:hAnsi="仿宋_GB2312" w:eastAsia="仿宋_GB2312" w:cs="仿宋_GB2312"/>
          <w:kern w:val="0"/>
          <w:sz w:val="32"/>
          <w:szCs w:val="32"/>
          <w:u w:val="none"/>
          <w:lang w:val="en-US" w:eastAsia="zh-CN"/>
        </w:rPr>
        <w:t>26</w:t>
      </w:r>
      <w:r>
        <w:rPr>
          <w:rFonts w:hint="eastAsia" w:ascii="仿宋_GB2312" w:hAnsi="仿宋_GB2312" w:eastAsia="仿宋_GB2312" w:cs="仿宋_GB2312"/>
          <w:kern w:val="0"/>
          <w:sz w:val="32"/>
          <w:szCs w:val="32"/>
          <w:u w:val="none"/>
        </w:rPr>
        <w:t>条通知。线下空间</w:t>
      </w:r>
      <w:r>
        <w:rPr>
          <w:rFonts w:hint="eastAsia" w:ascii="仿宋_GB2312" w:hAnsi="仿宋_GB2312" w:eastAsia="仿宋_GB2312" w:cs="仿宋_GB2312"/>
          <w:kern w:val="0"/>
          <w:sz w:val="32"/>
          <w:szCs w:val="32"/>
          <w:u w:val="none"/>
          <w:lang w:eastAsia="zh-CN"/>
        </w:rPr>
        <w:t>累计</w:t>
      </w:r>
      <w:r>
        <w:rPr>
          <w:rFonts w:hint="eastAsia" w:ascii="仿宋_GB2312" w:hAnsi="仿宋_GB2312" w:eastAsia="仿宋_GB2312" w:cs="仿宋_GB2312"/>
          <w:kern w:val="0"/>
          <w:sz w:val="32"/>
          <w:szCs w:val="32"/>
          <w:u w:val="none"/>
        </w:rPr>
        <w:t>接待</w:t>
      </w:r>
      <w:r>
        <w:rPr>
          <w:rFonts w:hint="eastAsia" w:ascii="仿宋_GB2312" w:hAnsi="仿宋_GB2312" w:eastAsia="仿宋_GB2312" w:cs="仿宋_GB2312"/>
          <w:kern w:val="0"/>
          <w:sz w:val="32"/>
          <w:szCs w:val="32"/>
          <w:u w:val="none"/>
          <w:lang w:val="en-US" w:eastAsia="zh-CN"/>
        </w:rPr>
        <w:t>150</w:t>
      </w:r>
      <w:r>
        <w:rPr>
          <w:rFonts w:hint="eastAsia" w:ascii="仿宋_GB2312" w:hAnsi="仿宋_GB2312" w:eastAsia="仿宋_GB2312" w:cs="仿宋_GB2312"/>
          <w:kern w:val="0"/>
          <w:sz w:val="32"/>
          <w:szCs w:val="32"/>
          <w:u w:val="none"/>
        </w:rPr>
        <w:t>余次的参观调研；收集、展示高校、企业相关科技成果展品</w:t>
      </w:r>
      <w:r>
        <w:rPr>
          <w:rFonts w:hint="eastAsia" w:ascii="仿宋_GB2312" w:hAnsi="仿宋_GB2312" w:eastAsia="仿宋_GB2312" w:cs="仿宋_GB2312"/>
          <w:kern w:val="0"/>
          <w:sz w:val="32"/>
          <w:szCs w:val="32"/>
          <w:u w:val="none"/>
          <w:lang w:val="en-US" w:eastAsia="zh-CN"/>
        </w:rPr>
        <w:t>20</w:t>
      </w:r>
      <w:r>
        <w:rPr>
          <w:rFonts w:hint="eastAsia" w:ascii="仿宋_GB2312" w:hAnsi="仿宋_GB2312" w:eastAsia="仿宋_GB2312" w:cs="仿宋_GB2312"/>
          <w:kern w:val="0"/>
          <w:sz w:val="32"/>
          <w:szCs w:val="32"/>
          <w:u w:val="none"/>
        </w:rPr>
        <w:t>余件；组织成果路演活动</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次，路演项目</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项；开展专项产学研对接活动</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场，对接熟化专项成果项目落地跟进</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项，向企业推广产业转型升级成功案例成果</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项；举办政策类培训和宣讲会</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场，累计受众</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多人次，为企业培养政策联络员</w:t>
      </w:r>
      <w:r>
        <w:rPr>
          <w:rFonts w:hint="eastAsia" w:ascii="仿宋_GB2312" w:hAnsi="仿宋_GB2312" w:eastAsia="仿宋_GB2312" w:cs="仿宋_GB2312"/>
          <w:kern w:val="0"/>
          <w:sz w:val="32"/>
          <w:szCs w:val="32"/>
          <w:u w:val="none"/>
          <w:lang w:val="en-US" w:eastAsia="zh-CN"/>
        </w:rPr>
        <w:t>41</w:t>
      </w:r>
      <w:r>
        <w:rPr>
          <w:rFonts w:hint="eastAsia" w:ascii="仿宋_GB2312" w:hAnsi="仿宋_GB2312" w:eastAsia="仿宋_GB2312" w:cs="仿宋_GB2312"/>
          <w:kern w:val="0"/>
          <w:sz w:val="32"/>
          <w:szCs w:val="32"/>
          <w:u w:val="none"/>
        </w:rPr>
        <w:t>名；走访企业调研</w:t>
      </w:r>
      <w:r>
        <w:rPr>
          <w:rFonts w:hint="eastAsia" w:ascii="仿宋_GB2312" w:hAnsi="仿宋_GB2312" w:eastAsia="仿宋_GB2312" w:cs="仿宋_GB2312"/>
          <w:kern w:val="0"/>
          <w:sz w:val="32"/>
          <w:szCs w:val="32"/>
          <w:u w:val="none"/>
          <w:lang w:val="en-US" w:eastAsia="zh-CN"/>
        </w:rPr>
        <w:t>30</w:t>
      </w:r>
      <w:r>
        <w:rPr>
          <w:rFonts w:hint="eastAsia" w:ascii="仿宋_GB2312" w:hAnsi="仿宋_GB2312" w:eastAsia="仿宋_GB2312" w:cs="仿宋_GB2312"/>
          <w:kern w:val="0"/>
          <w:sz w:val="32"/>
          <w:szCs w:val="32"/>
          <w:u w:val="none"/>
        </w:rPr>
        <w:t>多家，完成企业体检</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次；引入高校科技创新团队</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个；通过流媒体+拍摄制作</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条短视频；全年原创新闻</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篇，通过</w:t>
      </w:r>
      <w:r>
        <w:rPr>
          <w:rFonts w:hint="eastAsia" w:ascii="仿宋_GB2312" w:hAnsi="仿宋_GB2312" w:eastAsia="仿宋_GB2312" w:cs="仿宋_GB2312"/>
          <w:kern w:val="0"/>
          <w:sz w:val="32"/>
          <w:szCs w:val="32"/>
          <w:u w:val="none"/>
          <w:lang w:eastAsia="zh-CN"/>
        </w:rPr>
        <w:t>自治区、</w:t>
      </w:r>
      <w:r>
        <w:rPr>
          <w:rFonts w:hint="eastAsia" w:ascii="仿宋_GB2312" w:hAnsi="仿宋_GB2312" w:eastAsia="仿宋_GB2312" w:cs="仿宋_GB2312"/>
          <w:kern w:val="0"/>
          <w:sz w:val="32"/>
          <w:szCs w:val="32"/>
          <w:u w:val="none"/>
        </w:rPr>
        <w:t>市级官方媒体发文</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篇。</w:t>
      </w:r>
    </w:p>
    <w:p w14:paraId="722A7AEC">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开展科技培训工作</w:t>
      </w:r>
    </w:p>
    <w:p w14:paraId="2372D092">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以线上线下的方式举办了鄂尔多斯市科技创新能力提升班</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全市煤炭企业申报高新技术企业培训会、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期高新技术企业科技型中小企业申报实务线上专题培训会、</w:t>
      </w:r>
      <w:r>
        <w:rPr>
          <w:rFonts w:hint="eastAsia" w:ascii="仿宋_GB2312" w:hAnsi="仿宋_GB2312" w:eastAsia="仿宋_GB2312" w:cs="仿宋_GB2312"/>
          <w:kern w:val="0"/>
          <w:sz w:val="32"/>
          <w:szCs w:val="32"/>
          <w:u w:val="none"/>
          <w:lang w:eastAsia="zh-CN"/>
        </w:rPr>
        <w:t>全市研发投入工作培训会、</w:t>
      </w:r>
      <w:r>
        <w:rPr>
          <w:rFonts w:hint="eastAsia" w:ascii="仿宋_GB2312" w:hAnsi="仿宋_GB2312" w:eastAsia="仿宋_GB2312" w:cs="仿宋_GB2312"/>
          <w:kern w:val="0"/>
          <w:sz w:val="32"/>
          <w:szCs w:val="32"/>
          <w:u w:val="none"/>
          <w:lang w:val="en-US" w:eastAsia="zh-CN"/>
        </w:rPr>
        <w:t>2期</w:t>
      </w:r>
      <w:r>
        <w:rPr>
          <w:rFonts w:hint="eastAsia" w:ascii="仿宋_GB2312" w:hAnsi="仿宋_GB2312" w:eastAsia="仿宋_GB2312" w:cs="仿宋_GB2312"/>
          <w:kern w:val="0"/>
          <w:sz w:val="32"/>
          <w:szCs w:val="32"/>
          <w:u w:val="none"/>
          <w:lang w:eastAsia="zh-CN"/>
        </w:rPr>
        <w:t>国家技术转移技术经济人培训班、</w:t>
      </w:r>
      <w:r>
        <w:rPr>
          <w:rFonts w:hint="eastAsia" w:ascii="仿宋_GB2312" w:hAnsi="仿宋_GB2312" w:eastAsia="仿宋_GB2312" w:cs="仿宋_GB2312"/>
          <w:kern w:val="0"/>
          <w:sz w:val="32"/>
          <w:szCs w:val="32"/>
          <w:u w:val="none"/>
        </w:rPr>
        <w:t>“蒙科聚”鄂尔多斯科技成果转化平台首场推介会、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期“研”动力·企业研发体系规范化构建培训会，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期首届“鄂尔多斯杯”赛前辅导培训班</w:t>
      </w:r>
      <w:r>
        <w:rPr>
          <w:rFonts w:hint="eastAsia" w:ascii="仿宋_GB2312" w:hAnsi="仿宋_GB2312" w:eastAsia="仿宋_GB2312" w:cs="仿宋_GB2312"/>
          <w:kern w:val="0"/>
          <w:sz w:val="32"/>
          <w:szCs w:val="32"/>
          <w:u w:val="none"/>
          <w:lang w:eastAsia="zh-CN"/>
        </w:rPr>
        <w:t>、鄂尔多斯市高新区企业服务中心“进企业、解难题、促发展”座谈会、</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lang w:eastAsia="zh-CN"/>
        </w:rPr>
        <w:t>次科技支撑碳达峰碳中和线上项目推介活动、“强化政策服务能力、加快科技创新步伐、科技创新政策”培训会、小</w:t>
      </w:r>
      <w:r>
        <w:rPr>
          <w:rFonts w:hint="eastAsia" w:ascii="仿宋_GB2312" w:hAnsi="仿宋_GB2312" w:eastAsia="仿宋_GB2312" w:cs="仿宋_GB2312"/>
          <w:kern w:val="0"/>
          <w:sz w:val="32"/>
          <w:szCs w:val="32"/>
          <w:u w:val="none"/>
          <w:lang w:val="en-US" w:eastAsia="zh-CN"/>
        </w:rPr>
        <w:t>i</w:t>
      </w:r>
      <w:r>
        <w:rPr>
          <w:rFonts w:hint="eastAsia" w:ascii="仿宋_GB2312" w:hAnsi="仿宋_GB2312" w:eastAsia="仿宋_GB2312" w:cs="仿宋_GB2312"/>
          <w:kern w:val="0"/>
          <w:sz w:val="32"/>
          <w:szCs w:val="32"/>
          <w:u w:val="none"/>
          <w:lang w:eastAsia="zh-CN"/>
        </w:rPr>
        <w:t>机器人和康巴什科技局线上座谈会、俄罗斯院士鄂尔多斯行“矿山机械领域、重点企业”座谈会、鄂托克前旗规上企业研发费用“三清零”培训会、羊绒产业智能制造装备研发与示范应用线上培训会、</w:t>
      </w:r>
      <w:r>
        <w:rPr>
          <w:rFonts w:hint="eastAsia" w:ascii="仿宋_GB2312" w:hAnsi="仿宋_GB2312" w:eastAsia="仿宋_GB2312" w:cs="仿宋_GB2312"/>
          <w:kern w:val="0"/>
          <w:sz w:val="32"/>
          <w:szCs w:val="32"/>
          <w:u w:val="none"/>
          <w:lang w:val="en-US" w:eastAsia="zh-CN"/>
        </w:rPr>
        <w:t>2次</w:t>
      </w:r>
      <w:r>
        <w:rPr>
          <w:rFonts w:hint="eastAsia" w:ascii="仿宋_GB2312" w:hAnsi="仿宋_GB2312" w:eastAsia="仿宋_GB2312" w:cs="仿宋_GB2312"/>
          <w:kern w:val="0"/>
          <w:sz w:val="32"/>
          <w:szCs w:val="32"/>
          <w:u w:val="none"/>
          <w:lang w:eastAsia="zh-CN"/>
        </w:rPr>
        <w:t>“二氧化碳资源化利用制绿色甲醇”交流座谈会、保密与食品安全培训、公文写作培训等，累计举办各类培训活动</w:t>
      </w:r>
      <w:r>
        <w:rPr>
          <w:rFonts w:hint="eastAsia" w:ascii="仿宋_GB2312" w:hAnsi="仿宋_GB2312" w:eastAsia="仿宋_GB2312" w:cs="仿宋_GB2312"/>
          <w:kern w:val="0"/>
          <w:sz w:val="32"/>
          <w:szCs w:val="32"/>
          <w:u w:val="none"/>
          <w:lang w:val="en-US" w:eastAsia="zh-CN"/>
        </w:rPr>
        <w:t>27场次，</w:t>
      </w:r>
      <w:r>
        <w:rPr>
          <w:rFonts w:hint="eastAsia" w:ascii="仿宋_GB2312" w:hAnsi="仿宋_GB2312" w:eastAsia="仿宋_GB2312" w:cs="仿宋_GB2312"/>
          <w:kern w:val="0"/>
          <w:sz w:val="32"/>
          <w:szCs w:val="32"/>
          <w:u w:val="none"/>
          <w:lang w:eastAsia="zh-CN"/>
        </w:rPr>
        <w:t>参训人员</w:t>
      </w:r>
      <w:r>
        <w:rPr>
          <w:rFonts w:hint="eastAsia" w:ascii="仿宋_GB2312" w:hAnsi="仿宋_GB2312" w:eastAsia="仿宋_GB2312" w:cs="仿宋_GB2312"/>
          <w:kern w:val="0"/>
          <w:sz w:val="32"/>
          <w:szCs w:val="32"/>
          <w:u w:val="none"/>
          <w:lang w:val="en-US" w:eastAsia="zh-CN"/>
        </w:rPr>
        <w:t>2844</w:t>
      </w:r>
      <w:r>
        <w:rPr>
          <w:rFonts w:hint="eastAsia" w:ascii="仿宋_GB2312" w:hAnsi="仿宋_GB2312" w:eastAsia="仿宋_GB2312" w:cs="仿宋_GB2312"/>
          <w:kern w:val="0"/>
          <w:sz w:val="32"/>
          <w:szCs w:val="32"/>
          <w:u w:val="none"/>
        </w:rPr>
        <w:t>人次。</w:t>
      </w:r>
    </w:p>
    <w:p w14:paraId="7326C49C">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lang w:eastAsia="zh-CN"/>
        </w:rPr>
        <w:t>做好安全生产工作</w:t>
      </w:r>
    </w:p>
    <w:p w14:paraId="3F1F65B0">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重点加强办公大楼网络安全防护工作，包括增设视频监控探头、公共区域门禁系统，提高大楼的安全防范能力。聘请电业局技术人员对大楼外变电柜及楼内通电线路彻底排查</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次，并按照建议进行了整改。组织大楼入驻人员进行消防安全知识培训</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次，并邀请安全健康教育中心内蒙古总部教官对大楼消防设施、设备进行安全排查</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次。组织人员进行电梯应急救援演练</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次。常态化排查水、电、燃气线路的安全隐患。指派专人对市科技局政务网站和微信公众平台的错敏字、网络运行安全每日进行排查，确保网络安全稳定运行。</w:t>
      </w:r>
    </w:p>
    <w:p w14:paraId="5EB4D666">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lang w:eastAsia="zh-CN"/>
        </w:rPr>
        <w:t>运维政务信息平台</w:t>
      </w:r>
    </w:p>
    <w:p w14:paraId="516A2095">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根据全市政务公开、政府网站、政务新媒体评估结果的通报情况及考核评估指标，中心组织召开专题会议，对标对表，查漏补缺，将各板块分派到人，责任到人，加强了对各考核指标完成情况的督导力度。</w:t>
      </w:r>
      <w:r>
        <w:rPr>
          <w:rFonts w:hint="eastAsia" w:ascii="仿宋_GB2312" w:hAnsi="仿宋_GB2312" w:eastAsia="仿宋_GB2312" w:cs="仿宋_GB2312"/>
          <w:kern w:val="0"/>
          <w:sz w:val="32"/>
          <w:szCs w:val="32"/>
          <w:u w:val="none"/>
          <w:lang w:eastAsia="zh-CN"/>
        </w:rPr>
        <w:t>截至目前</w:t>
      </w:r>
      <w:r>
        <w:rPr>
          <w:rFonts w:hint="eastAsia" w:ascii="仿宋_GB2312" w:hAnsi="仿宋_GB2312" w:eastAsia="仿宋_GB2312" w:cs="仿宋_GB2312"/>
          <w:kern w:val="0"/>
          <w:sz w:val="32"/>
          <w:szCs w:val="32"/>
          <w:u w:val="none"/>
        </w:rPr>
        <w:t>，微信平台发布信息</w:t>
      </w:r>
      <w:r>
        <w:rPr>
          <w:rFonts w:hint="eastAsia" w:ascii="仿宋_GB2312" w:hAnsi="仿宋_GB2312" w:eastAsia="仿宋_GB2312" w:cs="仿宋_GB2312"/>
          <w:kern w:val="0"/>
          <w:sz w:val="32"/>
          <w:szCs w:val="32"/>
          <w:u w:val="none"/>
          <w:lang w:val="en-US" w:eastAsia="zh-CN"/>
        </w:rPr>
        <w:t>1976</w:t>
      </w:r>
      <w:r>
        <w:rPr>
          <w:rFonts w:hint="eastAsia" w:ascii="仿宋_GB2312" w:hAnsi="仿宋_GB2312" w:eastAsia="仿宋_GB2312" w:cs="仿宋_GB2312"/>
          <w:kern w:val="0"/>
          <w:sz w:val="32"/>
          <w:szCs w:val="32"/>
          <w:u w:val="none"/>
        </w:rPr>
        <w:t>条，网站发布信息</w:t>
      </w:r>
      <w:r>
        <w:rPr>
          <w:rFonts w:hint="eastAsia" w:ascii="仿宋_GB2312" w:hAnsi="仿宋_GB2312" w:eastAsia="仿宋_GB2312" w:cs="仿宋_GB2312"/>
          <w:kern w:val="0"/>
          <w:sz w:val="32"/>
          <w:szCs w:val="32"/>
          <w:u w:val="none"/>
          <w:lang w:val="en-US" w:eastAsia="zh-CN"/>
        </w:rPr>
        <w:t>1008</w:t>
      </w:r>
      <w:r>
        <w:rPr>
          <w:rFonts w:hint="eastAsia" w:ascii="仿宋_GB2312" w:hAnsi="仿宋_GB2312" w:eastAsia="仿宋_GB2312" w:cs="仿宋_GB2312"/>
          <w:kern w:val="0"/>
          <w:sz w:val="32"/>
          <w:szCs w:val="32"/>
          <w:u w:val="none"/>
        </w:rPr>
        <w:t>条。</w:t>
      </w:r>
    </w:p>
    <w:p w14:paraId="1147F865">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lang w:eastAsia="zh-CN"/>
        </w:rPr>
        <w:t>强化档案管理工作</w:t>
      </w:r>
    </w:p>
    <w:p w14:paraId="743B6642">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深入贯彻执行新的</w:t>
      </w:r>
      <w:r>
        <w:rPr>
          <w:rFonts w:hint="eastAsia" w:ascii="仿宋_GB2312" w:hAnsi="仿宋_GB2312" w:eastAsia="仿宋_GB2312" w:cs="仿宋_GB2312"/>
          <w:kern w:val="0"/>
          <w:sz w:val="32"/>
          <w:szCs w:val="32"/>
          <w:u w:val="none"/>
          <w:lang w:eastAsia="zh-CN"/>
        </w:rPr>
        <w:t>《中华人民共和国档案法》</w:t>
      </w:r>
      <w:r>
        <w:rPr>
          <w:rFonts w:hint="eastAsia" w:ascii="仿宋_GB2312" w:hAnsi="仿宋_GB2312" w:eastAsia="仿宋_GB2312" w:cs="仿宋_GB2312"/>
          <w:kern w:val="0"/>
          <w:sz w:val="32"/>
          <w:szCs w:val="32"/>
          <w:u w:val="none"/>
        </w:rPr>
        <w:t>《档案管理条例》以及市档案局的总体部署，力求确保相关文件材料应收尽收、应归尽归，做到档案工作规范化、标准化。一方面，加强档案资料的及时性、完整性、安全性、规范性管理，进一步增强对档案人员的业务培训，提高业务人员职业操守。另一方面，逐步实现档案管理的数字化，使我局档案向规范化、数字化、网络化、社会化迈进，进而实现以信息化为核心的档案管理现代化建设</w:t>
      </w:r>
      <w:r>
        <w:rPr>
          <w:rFonts w:hint="eastAsia" w:ascii="仿宋_GB2312" w:hAnsi="仿宋_GB2312" w:eastAsia="仿宋_GB2312" w:cs="仿宋_GB2312"/>
          <w:kern w:val="0"/>
          <w:sz w:val="32"/>
          <w:szCs w:val="32"/>
          <w:u w:val="none"/>
          <w:lang w:eastAsia="zh-CN"/>
        </w:rPr>
        <w:t>，年度完成</w:t>
      </w:r>
      <w:r>
        <w:rPr>
          <w:rFonts w:hint="eastAsia" w:ascii="仿宋_GB2312" w:hAnsi="仿宋_GB2312" w:eastAsia="仿宋_GB2312" w:cs="仿宋_GB2312"/>
          <w:kern w:val="0"/>
          <w:sz w:val="32"/>
          <w:szCs w:val="32"/>
          <w:u w:val="none"/>
          <w:lang w:val="en-US" w:eastAsia="zh-CN"/>
        </w:rPr>
        <w:t>文书档案数字化转换1043件</w:t>
      </w:r>
      <w:r>
        <w:rPr>
          <w:rFonts w:hint="eastAsia" w:ascii="仿宋_GB2312" w:hAnsi="仿宋_GB2312" w:eastAsia="仿宋_GB2312" w:cs="仿宋_GB2312"/>
          <w:kern w:val="0"/>
          <w:sz w:val="32"/>
          <w:szCs w:val="32"/>
          <w:u w:val="none"/>
        </w:rPr>
        <w:t>。组织档案室负责人员积极参加内蒙古自治区档案教育中心举办的《内蒙古档案人员岗位理论学习》，市档案局举办的《依法管档及档案开放审核》《全市数字档案建设与电子文件归档专题》和《全市档案法与机关档案“</w:t>
      </w:r>
      <w:r>
        <w:rPr>
          <w:rFonts w:hint="eastAsia" w:ascii="仿宋_GB2312" w:hAnsi="仿宋_GB2312" w:eastAsia="仿宋_GB2312" w:cs="仿宋_GB2312"/>
          <w:kern w:val="0"/>
          <w:sz w:val="32"/>
          <w:szCs w:val="32"/>
          <w:u w:val="none"/>
          <w:lang w:val="en-US" w:eastAsia="zh-CN"/>
        </w:rPr>
        <w:t>三合一</w:t>
      </w:r>
      <w:r>
        <w:rPr>
          <w:rFonts w:hint="eastAsia" w:ascii="仿宋_GB2312" w:hAnsi="仿宋_GB2312" w:eastAsia="仿宋_GB2312" w:cs="仿宋_GB2312"/>
          <w:kern w:val="0"/>
          <w:sz w:val="32"/>
          <w:szCs w:val="32"/>
          <w:u w:val="none"/>
        </w:rPr>
        <w:t>”制度编制专题》培训，及市档案局档案史志馆举办的《全市档案史志技能比武大赛》活动。</w:t>
      </w:r>
    </w:p>
    <w:p w14:paraId="18942041">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hint="eastAsia" w:ascii="fang_zheng_xiao_biao_song_ti" w:hAnsi="fang_zheng_xiao_biao_song_ti" w:eastAsia="fang_zheng_xiao_biao_song_ti" w:cs="fang_zheng_xiao_biao_song_ti"/>
          <w:b/>
          <w:bCs/>
          <w:color w:val="000000"/>
          <w:kern w:val="0"/>
          <w:sz w:val="36"/>
          <w:szCs w:val="36"/>
          <w:lang w:val="en-US" w:eastAsia="zh-CN"/>
        </w:rPr>
      </w:pPr>
      <w:r>
        <w:rPr>
          <w:rFonts w:hint="eastAsia" w:ascii="fang_zheng_xiao_biao_song_ti" w:hAnsi="fang_zheng_xiao_biao_song_ti" w:eastAsia="fang_zheng_xiao_biao_song_ti" w:cs="fang_zheng_xiao_biao_song_ti"/>
          <w:b/>
          <w:bCs/>
          <w:color w:val="000000"/>
          <w:kern w:val="0"/>
          <w:sz w:val="36"/>
          <w:szCs w:val="36"/>
          <w:lang w:val="en-US" w:eastAsia="zh-CN"/>
        </w:rPr>
        <w:t>第二部分  单位决算情况说明</w:t>
      </w:r>
    </w:p>
    <w:p w14:paraId="6D74FF3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rPr>
        <w:t>一、收入支出决算总体情况说明</w:t>
      </w:r>
    </w:p>
    <w:p w14:paraId="111537B5">
      <w:pPr>
        <w:pStyle w:val="31"/>
        <w:ind w:left="0" w:leftChars="0" w:firstLine="540" w:firstLineChars="20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kern w:val="0"/>
          <w:sz w:val="32"/>
          <w:szCs w:val="32"/>
          <w:u w:val="none"/>
          <w:lang w:val="en-US" w:eastAsia="zh-CN" w:bidi="ar-SA"/>
        </w:rPr>
        <w:t xml:space="preserve"> 内蒙古自治区鄂尔多斯市科技事业服务中心 2023年度收入、支出决算总计 867.01万元。与年初预算相比，收、支总计各减少 1,141.36万元，减少 56.83%，变动原因：因科技特派员工作经费项目年初预算1113万元，决算支出55.09万元，导致年初预算大于决算数；与上年决算相比，收、支总计各减少 21.86万元，减少 2.46%。其中：</w:t>
      </w:r>
    </w:p>
    <w:p w14:paraId="6DD7AE2D">
      <w:pPr>
        <w:widowControl/>
        <w:spacing w:before="240" w:after="240"/>
        <w:jc w:val="left"/>
        <w:rPr>
          <w:rFonts w:hint="eastAsia"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eastAsia" w:ascii="仿宋_GB2312" w:hAnsi="仿宋_GB2312" w:eastAsia="仿宋_GB2312" w:cs="仿宋_GB2312"/>
          <w:kern w:val="0"/>
          <w:sz w:val="32"/>
          <w:szCs w:val="32"/>
          <w:u w:val="none"/>
          <w:lang w:val="en-US" w:eastAsia="zh-CN" w:bidi="ar-SA"/>
        </w:rPr>
        <w:t>（一）收入决算总计 867.01万元。包括：</w:t>
      </w:r>
    </w:p>
    <w:p w14:paraId="6D9DAB64">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 本年收入决算合计 867.01万元。与上年决算相比，减少 21.86万元，减少 2.46%，变动原因：因本年人员增加，基本支出增加；科技成果转化技术咨询服务经费项目减少。</w:t>
      </w:r>
    </w:p>
    <w:p w14:paraId="52BA823C">
      <w:pPr>
        <w:widowControl/>
        <w:spacing w:before="240" w:after="240"/>
        <w:ind w:firstLine="320" w:firstLineChars="1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   2.使用非财政拨款结余和专用结余 0.00万元。与上年决算相比，增加 0.00万元，与上年持平，变动原因：我单位不存在此项内容。</w:t>
      </w:r>
    </w:p>
    <w:p w14:paraId="758B99BB">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3.年初结转和结余 0.00万元。与上年决算相比，增加 0.00万元，与上年持平，变动原因：我单位不存在此项内容。</w:t>
      </w:r>
    </w:p>
    <w:p w14:paraId="3D217750">
      <w:pPr>
        <w:widowControl/>
        <w:spacing w:before="240" w:after="240"/>
        <w:jc w:val="left"/>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（二）支出决算总计 867.01万元。包括：</w:t>
      </w:r>
    </w:p>
    <w:p w14:paraId="794F2B1D">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1.本年支出决算合计 867.01万元。与上年决算相比，减少 21.86万元，减少 2.46%，变动原因：因本年人员增加，基本支出增加；科技成果转化技术咨询服务经费项目减少。</w:t>
      </w:r>
    </w:p>
    <w:p w14:paraId="16E4E359">
      <w:pPr>
        <w:pStyle w:val="8"/>
        <w:ind w:firstLine="640" w:firstLineChars="200"/>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2.结余分配 0.003万元。结余分配事项：无。与上年决算相比，增加 0.0018万元，增长 147.79%，变动原因：因本年基本户余额较上年增加，利息收入较上年增加，导致结余分配较上年增加。</w:t>
      </w:r>
    </w:p>
    <w:p w14:paraId="7DD4160D">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3.年末结转和结余 0.00万元。结转和结余事项：无。与上年决算相比，增加0.00万元，与上年持平，变动原因：我单位不存在此项内容。</w:t>
      </w:r>
    </w:p>
    <w:p w14:paraId="39F43DD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kai_ti_gb2312" w:hAnsi="kai_ti_gb2312" w:eastAsia="kai_ti_gb2312" w:cs="kai_ti_gb2312"/>
          <w:b w:val="0"/>
          <w:bCs w:val="0"/>
          <w:kern w:val="0"/>
          <w:sz w:val="32"/>
          <w:szCs w:val="32"/>
        </w:rPr>
        <w:t xml:space="preserve">  </w:t>
      </w:r>
      <w:r>
        <w:rPr>
          <w:rFonts w:hint="eastAsia" w:ascii="黑体" w:hAnsi="黑体" w:eastAsia="黑体" w:cs="黑体"/>
          <w:kern w:val="0"/>
          <w:sz w:val="32"/>
          <w:szCs w:val="32"/>
        </w:rPr>
        <w:t>二、收入决算情况说明</w:t>
      </w:r>
    </w:p>
    <w:p w14:paraId="00EA950D">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  内蒙古自治区鄂尔多斯市科技事业服务中心 2023年度本年收入决算合计 867.01万元，其中：</w:t>
      </w:r>
    </w:p>
    <w:p w14:paraId="4938AD3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本年一般公共预算财政拨款收入 867.00万元，占 100.00%；</w:t>
      </w:r>
    </w:p>
    <w:p w14:paraId="7331261C">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本年政府性基金预算财政拨款收入 0.00万元，占 0.00%；</w:t>
      </w:r>
    </w:p>
    <w:p w14:paraId="2FED5747">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本年国有资本经营预算财政拨款收入 0.00万元，占 0.00%；</w:t>
      </w:r>
    </w:p>
    <w:p w14:paraId="72711A9C">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本年上级补助收入 0.00万元，占 0.00%；</w:t>
      </w:r>
    </w:p>
    <w:p w14:paraId="04BA83F1">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本年事业收入 0.00万元，占 0.00%；</w:t>
      </w:r>
    </w:p>
    <w:p w14:paraId="175AAA08">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本年经营收入 0.00万元，占 0.00%；</w:t>
      </w:r>
    </w:p>
    <w:p w14:paraId="55CE3B69">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本年附属单位上缴收入 0.00万元，占 0.00%；</w:t>
      </w:r>
    </w:p>
    <w:p w14:paraId="01D6075D">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本年其他收入 0.00万元，占 0.00%；</w:t>
      </w:r>
    </w:p>
    <w:p w14:paraId="048211C3">
      <w:pPr>
        <w:pStyle w:val="8"/>
        <w:ind w:firstLine="481"/>
        <w:rPr>
          <w:rFonts w:hint="eastAsia"/>
          <w:lang w:eastAsia="zh-CN"/>
        </w:rPr>
      </w:pPr>
    </w:p>
    <w:p w14:paraId="78CC3F24">
      <w:pPr>
        <w:widowControl/>
        <w:spacing w:before="240" w:after="240"/>
        <w:jc w:val="center"/>
        <w:rPr>
          <w:rFonts w:ascii="Times New Roman" w:hAnsi="Times New Roman" w:eastAsia="Times New Roman" w:cs="Times New Roman"/>
          <w:kern w:val="0"/>
          <w:sz w:val="24"/>
        </w:rPr>
      </w:pPr>
      <w:r>
        <w:drawing>
          <wp:inline distT="0" distB="0" distL="114300" distR="114300">
            <wp:extent cx="5416550" cy="3944620"/>
            <wp:effectExtent l="5080" t="4445" r="7620" b="51435"/>
            <wp:docPr id="2" name="图表 1" descr="7b0a202020202263686172745265734964223a202232303437363130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B9268B">
      <w:pPr>
        <w:widowControl/>
        <w:spacing w:before="240" w:after="240"/>
        <w:jc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图1.收入决算图</w:t>
      </w:r>
    </w:p>
    <w:p w14:paraId="4193AB18">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支出决算情况说明</w:t>
      </w:r>
    </w:p>
    <w:p w14:paraId="7F220EA6">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2023年度本年支出决算合计 867.00万元，其中：</w:t>
      </w:r>
    </w:p>
    <w:p w14:paraId="06DAC212">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本年基本支出 409.27万元，占 47.20%；</w:t>
      </w:r>
    </w:p>
    <w:p w14:paraId="7978E814">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本年项目支出 457.73万元，占 52.80%；</w:t>
      </w:r>
    </w:p>
    <w:p w14:paraId="252AA49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本年上缴上级支出 0.00万元，占 0.00%；</w:t>
      </w:r>
    </w:p>
    <w:p w14:paraId="6C55E5B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本年经营支出 0.00万元，占 0.00%；</w:t>
      </w:r>
    </w:p>
    <w:p w14:paraId="0DC2390F">
      <w:pPr>
        <w:widowControl/>
        <w:spacing w:before="240" w:after="240"/>
        <w:ind w:firstLine="320" w:firstLineChars="1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本年对附属单位补助支出 0.00万元，占 0.00%。</w:t>
      </w:r>
    </w:p>
    <w:p w14:paraId="489CC606">
      <w:pPr>
        <w:pStyle w:val="8"/>
        <w:ind w:firstLine="481"/>
      </w:pPr>
    </w:p>
    <w:p w14:paraId="5339FCCA">
      <w:pPr>
        <w:widowControl/>
        <w:spacing w:before="240" w:after="240"/>
        <w:jc w:val="center"/>
        <w:rPr>
          <w:rFonts w:ascii="Times New Roman" w:hAnsi="Times New Roman" w:eastAsia="Times New Roman" w:cs="Times New Roman"/>
          <w:kern w:val="0"/>
          <w:sz w:val="24"/>
        </w:rPr>
      </w:pPr>
      <w:r>
        <w:drawing>
          <wp:inline distT="0" distB="0" distL="114300" distR="114300">
            <wp:extent cx="4699000" cy="3411220"/>
            <wp:effectExtent l="4445" t="4445" r="20955"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7E30CE">
      <w:pPr>
        <w:widowControl/>
        <w:spacing w:before="240" w:after="240"/>
        <w:jc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图2.支出决算图</w:t>
      </w:r>
    </w:p>
    <w:p w14:paraId="6D059E24">
      <w:pPr>
        <w:widowControl/>
        <w:spacing w:before="240" w:after="240"/>
        <w:jc w:val="left"/>
        <w:rPr>
          <w:rFonts w:ascii="Times New Roman" w:hAnsi="Times New Roman" w:eastAsia="Times New Roman" w:cs="Times New Roman"/>
          <w:kern w:val="0"/>
          <w:sz w:val="24"/>
        </w:rPr>
      </w:pPr>
    </w:p>
    <w:p w14:paraId="28840D9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四、财政拨款收入支出决算总体情况说明</w:t>
      </w:r>
    </w:p>
    <w:p w14:paraId="2AE1309D">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内蒙古自治区鄂尔多斯市科技事业服务中心 2023年度财政拨款收入、支出决算总计 867.00万元，与年初预算相比，收、支总计各减少 1,141.37万元，减少 56.83%，变动原因：因科技特派员工作经费项目年初预算1113万元，决算支出55.09万元，导致年初预算大于决算数；与上年决算相比，收、支总计各减少 21.86万元，减少2.46%，变动原因：因本年人员增加，基本支出增加；科技成果转化技术咨询服务经费项目减少。</w:t>
      </w:r>
    </w:p>
    <w:p w14:paraId="38278CF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五、一般公共预算财政拨款支出决算情况说明</w:t>
      </w:r>
    </w:p>
    <w:p w14:paraId="61E42F51">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kern w:val="0"/>
          <w:sz w:val="32"/>
          <w:szCs w:val="32"/>
          <w:u w:val="none"/>
          <w:lang w:val="en-US" w:eastAsia="zh-CN" w:bidi="ar-SA"/>
        </w:rPr>
        <w:t xml:space="preserve"> 内蒙古自治区鄂尔多斯市科技事业服务中心 2023年度一般公共预算财政拨款支出决算 867.00万元。与年初预算 2,008.37万元相比，完成年初预算的 43.17%。其中：</w:t>
      </w:r>
    </w:p>
    <w:p w14:paraId="11CCC3EC">
      <w:pPr>
        <w:widowControl/>
        <w:spacing w:before="240" w:after="240"/>
        <w:rPr>
          <w:rFonts w:hint="eastAsia"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eastAsia" w:ascii="仿宋_GB2312" w:hAnsi="仿宋_GB2312" w:eastAsia="仿宋_GB2312" w:cs="仿宋_GB2312"/>
          <w:kern w:val="0"/>
          <w:sz w:val="32"/>
          <w:szCs w:val="32"/>
          <w:u w:val="none"/>
          <w:lang w:val="en-US" w:eastAsia="zh-CN" w:bidi="ar-SA"/>
        </w:rPr>
        <w:t>（一）科学技术支出（类）</w:t>
      </w:r>
    </w:p>
    <w:p w14:paraId="2794ED17">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科学技术支出类决算数为 719.80万元，与年初预算相比减少1197.88万元。其中：</w:t>
      </w:r>
    </w:p>
    <w:p w14:paraId="48B61CCC">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技术研究与开发（款）科技成果转化与扩散（项）。年初预算100.00万元，支出决算129.96万元，完成年初预算的129.96%。决算数与年初预算数的差异原因：因本年人员增加，基本支出增加，科技成果转化技术咨询服务经费项目减少40万元。</w:t>
      </w:r>
    </w:p>
    <w:p w14:paraId="46E0ED11">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科技条件与服务（款）机构运行（项）。年初预算424.68万元，支出决算331.26万元，完成年初预算的78.00%。决算数与年初预算数的差异原因：因本年人员增加，基本支出增加，科技成果转化技术咨询服务经费项目减少。</w:t>
      </w:r>
    </w:p>
    <w:p w14:paraId="0E0BE910">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科技条件与服务（款）其他科技条件与服务支出（项）。年初预算1393万元，支出决算188.29万元，完成年初预算的13.52%。决算数与年初预算数的差异原因：因本年人员增加，基本支出增加，科技成果转化技术咨询服务经费项目减少。</w:t>
      </w:r>
    </w:p>
    <w:p w14:paraId="675F6F1B">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4.其他科学技术支出（款）科技奖励（项）。年初预算0万元，支出决算70.29万元，较年初预算增加100%。决算数与年初预算数的差异原因：因本年人员增加，基本支出增加，科技成果转化技术咨询服务经费项目减少。</w:t>
      </w:r>
    </w:p>
    <w:p w14:paraId="4AD7398D">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（二）社会保障和就业支出（类）</w:t>
      </w:r>
    </w:p>
    <w:p w14:paraId="045858FD">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社会保障和就业支出类决算数为 111.47万元，与年初预算相比增加60.56万元。其中：</w:t>
      </w:r>
    </w:p>
    <w:p w14:paraId="4363922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1．行政事业单位养老支出（款）事业单位离退休（项）。年初预算23.89万元，支出决算21.72万元，完成年初预算的90.92%。决算数与年初预算数的差</w:t>
      </w:r>
      <w:r>
        <w:rPr>
          <w:rFonts w:hint="eastAsia" w:ascii="仿宋_GB2312" w:hAnsi="仿宋_GB2312" w:eastAsia="仿宋_GB2312" w:cs="仿宋_GB2312"/>
          <w:kern w:val="0"/>
          <w:sz w:val="32"/>
          <w:szCs w:val="32"/>
          <w:highlight w:val="none"/>
          <w:u w:val="none"/>
          <w:lang w:val="en-US" w:eastAsia="zh-CN" w:bidi="ar-SA"/>
        </w:rPr>
        <w:t>异原因：2022年底退休一人，人员及公用经费年初预算较高</w:t>
      </w:r>
      <w:r>
        <w:rPr>
          <w:rFonts w:hint="eastAsia" w:ascii="仿宋_GB2312" w:hAnsi="仿宋_GB2312" w:eastAsia="仿宋_GB2312" w:cs="仿宋_GB2312"/>
          <w:kern w:val="0"/>
          <w:sz w:val="32"/>
          <w:szCs w:val="32"/>
          <w:u w:val="none"/>
          <w:lang w:val="en-US" w:eastAsia="zh-CN" w:bidi="ar-SA"/>
        </w:rPr>
        <w:t>。</w:t>
      </w:r>
    </w:p>
    <w:p w14:paraId="252331BD">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行政事业单位养老支出（款）机关事业单位基本养老保险缴费支出（项）。年初预算24.09万元，支出决算27.35万元，完成年初预算的113.53%。决算数与年初预算数的差异原因：因本期人员增加，所以基本养老保险决算数大于年初预算。</w:t>
      </w:r>
    </w:p>
    <w:p w14:paraId="036E7CF8">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3．就业补助（款）其他就业补助支出（项）。年初预算0万元，支出决算59.9万元，较年初预算增加100%。决算数与年初预算数的差异原因：因本年自治区下拨就业补助资金，所以决算数大于年初预算数。</w:t>
      </w:r>
    </w:p>
    <w:p w14:paraId="348CC233">
      <w:pPr>
        <w:widowControl/>
        <w:spacing w:before="240" w:after="240"/>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4．其他社会保障和就业支出（款）其他社会保障和就业支出（项）。年初预算2.93万元，支出决算2.5万元，完成年初预算的85.32%。决算数与年初预算数的差</w:t>
      </w:r>
      <w:r>
        <w:rPr>
          <w:rFonts w:hint="eastAsia" w:ascii="仿宋_GB2312" w:hAnsi="仿宋_GB2312" w:eastAsia="仿宋_GB2312" w:cs="仿宋_GB2312"/>
          <w:kern w:val="0"/>
          <w:sz w:val="32"/>
          <w:szCs w:val="32"/>
          <w:highlight w:val="none"/>
          <w:u w:val="none"/>
          <w:lang w:val="en-US" w:eastAsia="zh-CN" w:bidi="ar-SA"/>
        </w:rPr>
        <w:t>异原因：本年新增一人，人员及公用经费年初预算较高。</w:t>
      </w:r>
    </w:p>
    <w:p w14:paraId="17ECA349">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（三）卫生健康支出（类）</w:t>
      </w:r>
    </w:p>
    <w:p w14:paraId="0EAA9F77">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卫生健康支出类决算数为 13.02万元，与年初预算相比减少1.23万元。其中：</w:t>
      </w:r>
    </w:p>
    <w:p w14:paraId="3801915F">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1．行政事业单位医疗（款）事业单位医疗（项）。年初预算14.25万元，支出决算13.02万元，完成年初预算的91.37%。决算数与年初预算数的差异</w:t>
      </w:r>
      <w:r>
        <w:rPr>
          <w:rFonts w:hint="eastAsia" w:ascii="仿宋_GB2312" w:hAnsi="仿宋_GB2312" w:eastAsia="仿宋_GB2312" w:cs="仿宋_GB2312"/>
          <w:kern w:val="0"/>
          <w:sz w:val="32"/>
          <w:szCs w:val="32"/>
          <w:highlight w:val="none"/>
          <w:u w:val="none"/>
          <w:lang w:val="en-US" w:eastAsia="zh-CN" w:bidi="ar-SA"/>
        </w:rPr>
        <w:t>原因：本年新增一人，人员及公用经费年初预算较高。</w:t>
      </w:r>
    </w:p>
    <w:p w14:paraId="637F03DC">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（四）住房保障支出（类）</w:t>
      </w:r>
    </w:p>
    <w:p w14:paraId="3772EE1E">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住房保障支出类决算数为 22.72万元，与年初预算相比减少2.82万元。其中：</w:t>
      </w:r>
    </w:p>
    <w:p w14:paraId="62809BF4">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1．住房改革支出（款）住房公积金（项）。年初预算25.53万元，支出决算22.72万元，完成年初预算的88.99%。决算数与年初预算数的</w:t>
      </w:r>
      <w:r>
        <w:rPr>
          <w:rFonts w:hint="eastAsia" w:ascii="仿宋_GB2312" w:hAnsi="仿宋_GB2312" w:eastAsia="仿宋_GB2312" w:cs="仿宋_GB2312"/>
          <w:kern w:val="0"/>
          <w:sz w:val="32"/>
          <w:szCs w:val="32"/>
          <w:highlight w:val="none"/>
          <w:u w:val="none"/>
          <w:lang w:val="en-US" w:eastAsia="zh-CN" w:bidi="ar-SA"/>
        </w:rPr>
        <w:t>差异原因：本年新增一人，人员及公用经费年初预算较高。</w:t>
      </w:r>
    </w:p>
    <w:p w14:paraId="76038DB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kern w:val="0"/>
          <w:sz w:val="32"/>
          <w:szCs w:val="32"/>
          <w:lang w:val="en-US" w:eastAsia="zh-CN"/>
        </w:rPr>
        <w:t xml:space="preserve"> 六、一般公共预算财政拨款基本支出决算情况说明</w:t>
      </w:r>
    </w:p>
    <w:p w14:paraId="3CEB3C08">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2023年度一般公共预算财政拨款基本支出决算 409.27万元，其中：</w:t>
      </w:r>
    </w:p>
    <w:p w14:paraId="45E9BD9D">
      <w:pPr>
        <w:widowControl/>
        <w:numPr>
          <w:ilvl w:val="0"/>
          <w:numId w:val="0"/>
        </w:numPr>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（一）人员经费 295.65万元。主要包括：基本工资72.05万元、津贴补贴88.93万元、奖金15.37万元、机关事业单位基本养老保险缴费27.35万元、职工基本医疗保险缴费9.69万元、公务员医疗补助缴费3.33万元、其他社会保障缴费2.5万元、绩效工资30.02万元、退休费21.72万元、生活补助1.98万元、住房公积金22.72万元。</w:t>
      </w:r>
    </w:p>
    <w:p w14:paraId="6B417E90">
      <w:pPr>
        <w:widowControl/>
        <w:numPr>
          <w:ilvl w:val="0"/>
          <w:numId w:val="0"/>
        </w:numPr>
        <w:spacing w:before="240" w:after="240"/>
        <w:ind w:firstLine="640" w:firstLineChars="200"/>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u w:val="none"/>
          <w:lang w:val="en-US" w:eastAsia="zh-CN" w:bidi="ar-SA"/>
        </w:rPr>
        <w:t>（二）公用经费 113.62万元。主要包括：办公费2.38万元、水费8万元、电费16万元、邮电费0.6万元、取暖费28.91万元、物业管理费30.75万元、差旅费1.49万元、工会经费1.94万元、福利费4.05万元、其他交通费用19.5万元。</w:t>
      </w:r>
    </w:p>
    <w:p w14:paraId="253CC17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七、一般公共预算财政拨款项目支出决算情况说明</w:t>
      </w:r>
    </w:p>
    <w:p w14:paraId="6641514A">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2023年度一般公共预算财政拨款项目支出决算 457.73万元，其中：</w:t>
      </w:r>
    </w:p>
    <w:p w14:paraId="3B11CEC9">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（一）工资福利支出 0.14万元。主要包括：津贴补贴0.14万元。</w:t>
      </w:r>
    </w:p>
    <w:p w14:paraId="49EA5760">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（二）商品和服务支出 440.08万元。主要包括：办公费4.33万元、印刷费0.43万元、咨询费12.79万元、邮电费6.5万元、差旅费14.74万元、维修（护）费64.31万元、租赁费0.9万元、培训费44.96万元、委托业务费267.32万元、其他交通费用17.16万元、其他商品和服务支出6.63万元。</w:t>
      </w:r>
    </w:p>
    <w:p w14:paraId="30D448ED">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（三）对个人和家庭的补助5.66万元。主要包括：其他对个人和家庭的补助5.66万元。</w:t>
      </w:r>
    </w:p>
    <w:p w14:paraId="42B7C243">
      <w:pPr>
        <w:widowControl/>
        <w:spacing w:before="240" w:after="240"/>
        <w:ind w:firstLine="640" w:firstLineChars="200"/>
        <w:rPr>
          <w:rFonts w:hint="default"/>
          <w:lang w:val="en-US" w:eastAsia="zh-CN"/>
        </w:rPr>
      </w:pPr>
      <w:r>
        <w:rPr>
          <w:rFonts w:hint="eastAsia" w:ascii="仿宋_GB2312" w:hAnsi="仿宋_GB2312" w:eastAsia="仿宋_GB2312" w:cs="仿宋_GB2312"/>
          <w:kern w:val="0"/>
          <w:sz w:val="32"/>
          <w:szCs w:val="32"/>
          <w:u w:val="none"/>
          <w:lang w:val="en-US" w:eastAsia="zh-CN" w:bidi="ar-SA"/>
        </w:rPr>
        <w:t>（四）</w:t>
      </w:r>
      <w:r>
        <w:rPr>
          <w:rFonts w:hint="default" w:ascii="仿宋_GB2312" w:hAnsi="仿宋_GB2312" w:eastAsia="仿宋_GB2312" w:cs="仿宋_GB2312"/>
          <w:kern w:val="0"/>
          <w:sz w:val="32"/>
          <w:szCs w:val="32"/>
          <w:u w:val="none"/>
          <w:lang w:val="en-US" w:eastAsia="zh-CN" w:bidi="ar-SA"/>
        </w:rPr>
        <w:t>资本性支出</w:t>
      </w:r>
      <w:r>
        <w:rPr>
          <w:rFonts w:hint="eastAsia" w:ascii="仿宋_GB2312" w:hAnsi="仿宋_GB2312" w:eastAsia="仿宋_GB2312" w:cs="仿宋_GB2312"/>
          <w:kern w:val="0"/>
          <w:sz w:val="32"/>
          <w:szCs w:val="32"/>
          <w:u w:val="none"/>
          <w:lang w:val="en-US" w:eastAsia="zh-CN" w:bidi="ar-SA"/>
        </w:rPr>
        <w:t>11.86万元。主要包括： 办公设备购置11.86万元</w:t>
      </w:r>
      <w:r>
        <w:rPr>
          <w:rFonts w:hint="eastAsia" w:ascii="fang_song_gb2312" w:hAnsi="fang_song_gb2312" w:eastAsia="fang_song_gb2312" w:cs="fang_song_gb2312"/>
          <w:kern w:val="0"/>
          <w:sz w:val="27"/>
          <w:szCs w:val="27"/>
          <w:lang w:val="en-US" w:eastAsia="zh-CN" w:bidi="ar-SA"/>
        </w:rPr>
        <w:t>。</w:t>
      </w:r>
    </w:p>
    <w:p w14:paraId="3029444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八、财政拨款“三公”经费支出决算情况说明</w:t>
      </w:r>
    </w:p>
    <w:p w14:paraId="39B28D68">
      <w:pPr>
        <w:widowControl/>
        <w:spacing w:before="240" w:after="240"/>
        <w:ind w:firstLine="540" w:firstLineChars="200"/>
        <w:rPr>
          <w:rFonts w:hint="default"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w:t>
      </w:r>
      <w:r>
        <w:rPr>
          <w:rFonts w:hint="eastAsia" w:ascii="仿宋_GB2312" w:hAnsi="仿宋_GB2312" w:eastAsia="仿宋_GB2312" w:cs="仿宋_GB2312"/>
          <w:kern w:val="0"/>
          <w:sz w:val="32"/>
          <w:szCs w:val="32"/>
          <w:u w:val="none"/>
          <w:lang w:val="en-US" w:eastAsia="zh-CN" w:bidi="ar-SA"/>
        </w:rPr>
        <w:t>（一）财政拨款“三公”经费支出总体情况说明。</w:t>
      </w:r>
    </w:p>
    <w:p w14:paraId="47004F25">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2023年度财政拨款“三公”经费全年预算 0.00万元，支出决算 0.00万元</w:t>
      </w:r>
      <w:r>
        <w:rPr>
          <w:rFonts w:hint="eastAsia" w:ascii="仿宋_GB2312" w:hAnsi="仿宋_GB2312" w:eastAsia="仿宋_GB2312" w:cs="仿宋_GB2312"/>
          <w:kern w:val="0"/>
          <w:sz w:val="32"/>
          <w:szCs w:val="32"/>
          <w:u w:val="none"/>
          <w:lang w:val="en-US" w:eastAsia="zh-CN" w:bidi="ar-SA"/>
        </w:rPr>
        <w:t>。</w:t>
      </w:r>
      <w:r>
        <w:rPr>
          <w:rFonts w:hint="default" w:ascii="仿宋_GB2312" w:hAnsi="仿宋_GB2312" w:eastAsia="仿宋_GB2312" w:cs="仿宋_GB2312"/>
          <w:kern w:val="0"/>
          <w:sz w:val="32"/>
          <w:szCs w:val="32"/>
          <w:u w:val="none"/>
          <w:lang w:val="en-US" w:eastAsia="zh-CN" w:bidi="ar-SA"/>
        </w:rPr>
        <w:t>其中：因公出国（境）费全年预算 0.00万元，支出决算 0.00万元，公务用车购置及运行维护费全年预算 0.00万元，支出决算 0.00万元，公务接待费全年预算 0.00万元，支出决算 0.00万元。2023年度一般公共预算财政拨款“三公”经费支出决算与预算差异</w:t>
      </w:r>
      <w:r>
        <w:rPr>
          <w:rFonts w:hint="eastAsia" w:ascii="仿宋_GB2312" w:hAnsi="仿宋_GB2312" w:eastAsia="仿宋_GB2312" w:cs="仿宋_GB2312"/>
          <w:kern w:val="0"/>
          <w:sz w:val="32"/>
          <w:szCs w:val="32"/>
          <w:u w:val="none"/>
          <w:lang w:val="en-US" w:eastAsia="zh-CN" w:bidi="ar-SA"/>
        </w:rPr>
        <w:t>原因：我单位不存在此项内容。</w:t>
      </w:r>
    </w:p>
    <w:p w14:paraId="01F0411C">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（二）财政拨款“三公”经费支出具体情况说明。</w:t>
      </w:r>
    </w:p>
    <w:p w14:paraId="6DB26629">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2023年度财政拨款“三公”经费支出 0.00万元。因公出国（境）费支出 0.00万元；公务用车购置及运行维护费支出 0.00万元；公务接待费支出 0.00万元。其中：</w:t>
      </w:r>
    </w:p>
    <w:p w14:paraId="0F128E08">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1.因公出国（境）费支出 0.00万元，全年出国（境）团组0 个，累计0 人次。与上年决算相比，增加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21E86594">
      <w:pPr>
        <w:widowControl/>
        <w:spacing w:before="240" w:after="240"/>
        <w:ind w:firstLine="960" w:firstLineChars="3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2.公务用车购置及运行维护费支出 0.00万元。其中：</w:t>
      </w:r>
    </w:p>
    <w:p w14:paraId="5313DD9F">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（1）公务用车购置支出 0.00万元。本年度使用财政拨款购置公务用车0 辆，开支内容：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328CFD9F">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（2）公务用车运行维护费支出 0.00万元。公务用车运行维护费主要用于按规定保留的公务用车的燃料费、维修费、过桥过路费、保险费、安全奖励费用等支出。截至2023年12月31日，使用财政拨款开支的公务用车保有量为0 辆。与上年决算相比，增加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25B02002">
      <w:pPr>
        <w:widowControl/>
        <w:spacing w:before="240" w:after="240"/>
        <w:ind w:firstLine="640" w:firstLineChars="200"/>
        <w:rPr>
          <w:rFonts w:ascii="Times New Roman" w:hAnsi="Times New Roman" w:eastAsia="Times New Roman" w:cs="Times New Roman"/>
          <w:kern w:val="0"/>
          <w:sz w:val="24"/>
        </w:rPr>
      </w:pPr>
      <w:r>
        <w:rPr>
          <w:rFonts w:hint="default" w:ascii="仿宋_GB2312" w:hAnsi="仿宋_GB2312" w:eastAsia="仿宋_GB2312" w:cs="仿宋_GB2312"/>
          <w:kern w:val="0"/>
          <w:sz w:val="32"/>
          <w:szCs w:val="32"/>
          <w:u w:val="none"/>
          <w:lang w:val="en-US" w:eastAsia="zh-CN" w:bidi="ar-SA"/>
        </w:rPr>
        <w:t>3.公务接待费支出 0.00万元。其中：国内公务接待支出 0.00万元，接待0 批次，0 人次，开支内容：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；国（境）外公务接待支出 0.00万元，接待0 批次，0 人次，开支内容：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r>
        <w:rPr>
          <w:rFonts w:hint="default" w:ascii="仿宋_GB2312" w:hAnsi="仿宋_GB2312" w:eastAsia="仿宋_GB2312" w:cs="仿宋_GB2312"/>
          <w:kern w:val="0"/>
          <w:sz w:val="32"/>
          <w:szCs w:val="32"/>
          <w:u w:val="none"/>
          <w:lang w:val="en-US" w:eastAsia="zh-CN" w:bidi="ar-SA"/>
        </w:rPr>
        <w:t xml:space="preserve">    </w:t>
      </w:r>
    </w:p>
    <w:p w14:paraId="27A3CE1B">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九、政府性基金预算财政拨款支出决算情况说明</w:t>
      </w:r>
    </w:p>
    <w:p w14:paraId="765DE0BE">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2023年度政府性基金预算财政拨款支出决算 0.00万元。与上年决算相比，增加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本</w:t>
      </w:r>
      <w:r>
        <w:rPr>
          <w:rFonts w:hint="default" w:ascii="仿宋_GB2312" w:hAnsi="仿宋_GB2312" w:eastAsia="仿宋_GB2312" w:cs="仿宋_GB2312"/>
          <w:kern w:val="0"/>
          <w:sz w:val="32"/>
          <w:szCs w:val="32"/>
          <w:u w:val="none"/>
          <w:lang w:val="en-US" w:eastAsia="zh-CN" w:bidi="ar-SA"/>
        </w:rPr>
        <w:t>单位无政府性基金预算财政拨款收、支、余。</w:t>
      </w:r>
    </w:p>
    <w:p w14:paraId="30A9870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十、国有资本经营预算财政拨款支出决算情况说明</w:t>
      </w:r>
    </w:p>
    <w:p w14:paraId="672E4CA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2023年度国有资本经营预算财政拨款支出决算 0.00万元。与上年决算相比，增加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，变动原因：本单位无国有资本经营预算财政拨款收、支、余。</w:t>
      </w:r>
    </w:p>
    <w:p w14:paraId="360ABF65">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十一、机构运行经费支出决算情况说明</w:t>
      </w:r>
    </w:p>
    <w:p w14:paraId="1B9C8077">
      <w:pPr>
        <w:widowControl/>
        <w:spacing w:before="240" w:after="240"/>
        <w:rPr>
          <w:rFonts w:hint="default"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2023年度机构运行经费支出决算 113.62万元。比上年决算相比，减少44.63万元，减少28.20%，变动原因：</w:t>
      </w:r>
      <w:r>
        <w:rPr>
          <w:rFonts w:hint="eastAsia" w:ascii="仿宋_GB2312" w:hAnsi="仿宋_GB2312" w:eastAsia="仿宋_GB2312" w:cs="仿宋_GB2312"/>
          <w:kern w:val="0"/>
          <w:sz w:val="32"/>
          <w:szCs w:val="32"/>
          <w:u w:val="none"/>
          <w:lang w:val="en-US" w:eastAsia="zh-CN" w:bidi="ar-SA"/>
        </w:rPr>
        <w:t>本年度维修维护费较上年减少，所以机构运行经费较上年减少</w:t>
      </w:r>
      <w:r>
        <w:rPr>
          <w:rFonts w:hint="default" w:ascii="仿宋_GB2312" w:hAnsi="仿宋_GB2312" w:eastAsia="仿宋_GB2312" w:cs="仿宋_GB2312"/>
          <w:kern w:val="0"/>
          <w:sz w:val="32"/>
          <w:szCs w:val="32"/>
          <w:u w:val="none"/>
          <w:lang w:val="en-US" w:eastAsia="zh-CN" w:bidi="ar-SA"/>
        </w:rPr>
        <w:t>。</w:t>
      </w:r>
    </w:p>
    <w:p w14:paraId="23E6061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32"/>
          <w:szCs w:val="32"/>
        </w:rPr>
        <w:t xml:space="preserve">   十二、政府采购支出决算情况说明</w:t>
      </w:r>
    </w:p>
    <w:p w14:paraId="74CC8CD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2023年度政府采购支出总额 135.56万元，其中：政府采购货物支出 12.13万元、政府采购工程支出 0.00万元、政府采购服务支出 123.43万元。政府采购授予中小企业合同金额 135.29万元，占政府采购支出总额的</w:t>
      </w:r>
      <w:r>
        <w:rPr>
          <w:rFonts w:hint="eastAsia" w:ascii="仿宋_GB2312" w:hAnsi="仿宋_GB2312" w:eastAsia="仿宋_GB2312" w:cs="仿宋_GB2312"/>
          <w:kern w:val="0"/>
          <w:sz w:val="32"/>
          <w:szCs w:val="32"/>
          <w:u w:val="none"/>
          <w:lang w:val="en-US" w:eastAsia="zh-CN" w:bidi="ar-SA"/>
        </w:rPr>
        <w:t>99.80</w:t>
      </w:r>
      <w:r>
        <w:rPr>
          <w:rFonts w:hint="default" w:ascii="仿宋_GB2312" w:hAnsi="仿宋_GB2312" w:eastAsia="仿宋_GB2312" w:cs="仿宋_GB2312"/>
          <w:kern w:val="0"/>
          <w:sz w:val="32"/>
          <w:szCs w:val="32"/>
          <w:u w:val="none"/>
          <w:lang w:val="en-US" w:eastAsia="zh-CN" w:bidi="ar-SA"/>
        </w:rPr>
        <w:t>%，其中：授予小微企业合同金额  135.29万元，占政府采购支出总额的</w:t>
      </w:r>
      <w:r>
        <w:rPr>
          <w:rFonts w:hint="eastAsia" w:ascii="仿宋_GB2312" w:hAnsi="仿宋_GB2312" w:eastAsia="仿宋_GB2312" w:cs="仿宋_GB2312"/>
          <w:kern w:val="0"/>
          <w:sz w:val="32"/>
          <w:szCs w:val="32"/>
          <w:u w:val="none"/>
          <w:lang w:val="en-US" w:eastAsia="zh-CN" w:bidi="ar-SA"/>
        </w:rPr>
        <w:t>99.8</w:t>
      </w:r>
      <w:r>
        <w:rPr>
          <w:rFonts w:hint="default" w:ascii="仿宋_GB2312" w:hAnsi="仿宋_GB2312" w:eastAsia="仿宋_GB2312" w:cs="仿宋_GB2312"/>
          <w:kern w:val="0"/>
          <w:sz w:val="32"/>
          <w:szCs w:val="32"/>
          <w:u w:val="none"/>
          <w:lang w:val="en-US" w:eastAsia="zh-CN" w:bidi="ar-SA"/>
        </w:rPr>
        <w:t>%；货物采购授予中小企业合同金额占货物支出金额的</w:t>
      </w:r>
      <w:r>
        <w:rPr>
          <w:rFonts w:hint="eastAsia" w:ascii="仿宋_GB2312" w:hAnsi="仿宋_GB2312" w:eastAsia="仿宋_GB2312" w:cs="仿宋_GB2312"/>
          <w:kern w:val="0"/>
          <w:sz w:val="32"/>
          <w:szCs w:val="32"/>
          <w:u w:val="none"/>
          <w:lang w:val="en-US" w:eastAsia="zh-CN" w:bidi="ar-SA"/>
        </w:rPr>
        <w:t>100.00</w:t>
      </w:r>
      <w:r>
        <w:rPr>
          <w:rFonts w:hint="default" w:ascii="仿宋_GB2312" w:hAnsi="仿宋_GB2312" w:eastAsia="仿宋_GB2312" w:cs="仿宋_GB2312"/>
          <w:kern w:val="0"/>
          <w:sz w:val="32"/>
          <w:szCs w:val="32"/>
          <w:u w:val="none"/>
          <w:lang w:val="en-US" w:eastAsia="zh-CN" w:bidi="ar-SA"/>
        </w:rPr>
        <w:t>%，工程采购授予中小企业合同金额占工程支出金额的</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%，服务采购授予中小企业合同金额占服务支出金额的</w:t>
      </w:r>
      <w:r>
        <w:rPr>
          <w:rFonts w:hint="eastAsia" w:ascii="仿宋_GB2312" w:hAnsi="仿宋_GB2312" w:eastAsia="仿宋_GB2312" w:cs="仿宋_GB2312"/>
          <w:kern w:val="0"/>
          <w:sz w:val="32"/>
          <w:szCs w:val="32"/>
          <w:u w:val="none"/>
          <w:lang w:val="en-US" w:eastAsia="zh-CN" w:bidi="ar-SA"/>
        </w:rPr>
        <w:t>100.00</w:t>
      </w:r>
      <w:r>
        <w:rPr>
          <w:rFonts w:hint="default" w:ascii="仿宋_GB2312" w:hAnsi="仿宋_GB2312" w:eastAsia="仿宋_GB2312" w:cs="仿宋_GB2312"/>
          <w:kern w:val="0"/>
          <w:sz w:val="32"/>
          <w:szCs w:val="32"/>
          <w:u w:val="none"/>
          <w:lang w:val="en-US" w:eastAsia="zh-CN" w:bidi="ar-SA"/>
        </w:rPr>
        <w:t>%。</w:t>
      </w:r>
    </w:p>
    <w:p w14:paraId="36431A7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十三、国有资产占用情况说明</w:t>
      </w:r>
    </w:p>
    <w:p w14:paraId="5325EB03">
      <w:pPr>
        <w:widowControl/>
        <w:spacing w:before="240" w:after="240"/>
        <w:rPr>
          <w:rFonts w:hint="default"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default" w:ascii="仿宋_GB2312" w:hAnsi="仿宋_GB2312" w:eastAsia="仿宋_GB2312" w:cs="仿宋_GB2312"/>
          <w:kern w:val="0"/>
          <w:sz w:val="32"/>
          <w:szCs w:val="32"/>
          <w:u w:val="none"/>
          <w:lang w:val="en-US" w:eastAsia="zh-CN" w:bidi="ar-SA"/>
        </w:rPr>
        <w:t>内蒙古自治区鄂尔多斯市科技事业服务中心 截至2023年12月31日，本部门（单位）共有车辆 0辆，其中：副部（省）级及以上领导用车0 辆、主要负责人用车 0辆、机要通信用车 0辆、应急保障用车 0辆、执法执勤用车 0辆、特种专业技术用车 0辆、离退休干部服务用车 0辆，其他用车 0辆；单价100万元（含）以上的设备（不含车辆） 0台（套）。</w:t>
      </w:r>
    </w:p>
    <w:p w14:paraId="03AF03CB">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十四、预算绩效情况说明</w:t>
      </w:r>
    </w:p>
    <w:p w14:paraId="5281B881">
      <w:pPr>
        <w:widowControl/>
        <w:spacing w:before="240" w:after="240"/>
        <w:rPr>
          <w:rFonts w:hint="default"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default" w:ascii="kai_ti_gb2312" w:hAnsi="kai_ti_gb2312" w:eastAsia="kai_ti_gb2312" w:cs="kai_ti_gb2312"/>
          <w:b/>
          <w:bCs/>
          <w:kern w:val="0"/>
          <w:sz w:val="27"/>
          <w:szCs w:val="27"/>
          <w:u w:val="none"/>
          <w:lang w:val="en-US" w:eastAsia="zh-CN"/>
        </w:rPr>
        <w:t>（一）预算绩效管理工作开展情况。</w:t>
      </w:r>
    </w:p>
    <w:p w14:paraId="6F2A90CF">
      <w:pPr>
        <w:widowControl/>
        <w:spacing w:before="240" w:after="240"/>
        <w:ind w:firstLine="640" w:firstLineChars="200"/>
        <w:rPr>
          <w:rFonts w:hint="eastAsia" w:ascii="times_new_roman" w:hAnsi="times_new_roman" w:cs="times_new_roman"/>
          <w:kern w:val="0"/>
          <w:sz w:val="27"/>
          <w:szCs w:val="27"/>
          <w:lang w:eastAsia="zh-CN"/>
        </w:rPr>
      </w:pPr>
      <w:r>
        <w:rPr>
          <w:rFonts w:hint="default" w:ascii="仿宋_GB2312" w:hAnsi="仿宋_GB2312" w:eastAsia="仿宋_GB2312" w:cs="仿宋_GB2312"/>
          <w:kern w:val="0"/>
          <w:sz w:val="32"/>
          <w:szCs w:val="32"/>
          <w:u w:val="none"/>
          <w:lang w:val="en-US" w:eastAsia="zh-CN" w:bidi="ar-SA"/>
        </w:rPr>
        <w:t>内蒙古自治区鄂尔多斯市科技事业服务中心 根据预算绩效管理要求组织对2023年一般公共预算项目支出全面开展绩效自评，其中一级项目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个，二级项目</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个，共涉及资金</w:t>
      </w:r>
      <w:r>
        <w:rPr>
          <w:rFonts w:hint="eastAsia" w:ascii="仿宋_GB2312" w:hAnsi="仿宋_GB2312" w:eastAsia="仿宋_GB2312" w:cs="仿宋_GB2312"/>
          <w:kern w:val="0"/>
          <w:sz w:val="32"/>
          <w:szCs w:val="32"/>
          <w:u w:val="none"/>
          <w:lang w:val="en-US" w:eastAsia="zh-CN" w:bidi="ar-SA"/>
        </w:rPr>
        <w:t>457.73</w:t>
      </w:r>
      <w:r>
        <w:rPr>
          <w:rFonts w:hint="default" w:ascii="仿宋_GB2312" w:hAnsi="仿宋_GB2312" w:eastAsia="仿宋_GB2312" w:cs="仿宋_GB2312"/>
          <w:kern w:val="0"/>
          <w:sz w:val="32"/>
          <w:szCs w:val="32"/>
          <w:u w:val="none"/>
          <w:lang w:val="en-US" w:eastAsia="zh-CN" w:bidi="ar-SA"/>
        </w:rPr>
        <w:t>万元，占一般公共预算项目支出总额的100%；政府性基金预算项目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个，其中，一级项目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个，二级项目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个，共涉及资金</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万元，占应纳入绩效自评的政府性基金预算项目支出总额的</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w:t>
      </w:r>
      <w:r>
        <w:rPr>
          <w:rFonts w:hint="eastAsia" w:ascii="times_new_roman" w:hAnsi="times_new_roman" w:cs="times_new_roman"/>
          <w:kern w:val="0"/>
          <w:sz w:val="27"/>
          <w:szCs w:val="27"/>
          <w:lang w:eastAsia="zh-CN"/>
        </w:rPr>
        <w:t>。</w:t>
      </w:r>
    </w:p>
    <w:p w14:paraId="21332F3E">
      <w:pPr>
        <w:widowControl/>
        <w:spacing w:before="240" w:after="240"/>
        <w:ind w:firstLine="540" w:firstLineChars="200"/>
        <w:rPr>
          <w:rFonts w:hint="default" w:ascii="times_new_roman" w:hAnsi="times_new_roman" w:cs="times_new_roman"/>
          <w:kern w:val="0"/>
          <w:sz w:val="27"/>
          <w:szCs w:val="27"/>
          <w:lang w:val="en-US" w:eastAsia="zh-CN"/>
        </w:rPr>
      </w:pPr>
      <w:r>
        <w:rPr>
          <w:rFonts w:hint="eastAsia" w:ascii="times_new_roman" w:hAnsi="times_new_roman" w:cs="times_new_roman"/>
          <w:kern w:val="0"/>
          <w:sz w:val="27"/>
          <w:szCs w:val="27"/>
          <w:lang w:val="en-US" w:eastAsia="zh-CN"/>
        </w:rPr>
        <w:t>本单位未对项目进行重点绩效评价。</w:t>
      </w:r>
    </w:p>
    <w:p w14:paraId="7414C065">
      <w:pPr>
        <w:widowControl/>
        <w:spacing w:before="240" w:after="240"/>
        <w:ind w:firstLine="540" w:firstLineChars="200"/>
        <w:rPr>
          <w:rFonts w:hint="default" w:ascii="kai_ti_gb2312" w:hAnsi="kai_ti_gb2312" w:eastAsia="kai_ti_gb2312" w:cs="kai_ti_gb2312"/>
          <w:b/>
          <w:bCs/>
          <w:kern w:val="0"/>
          <w:sz w:val="27"/>
          <w:szCs w:val="27"/>
          <w:u w:val="none"/>
          <w:lang w:val="en-US" w:eastAsia="zh-CN"/>
        </w:rPr>
      </w:pPr>
      <w:r>
        <w:rPr>
          <w:rFonts w:hint="default" w:ascii="kai_ti_gb2312" w:hAnsi="kai_ti_gb2312" w:eastAsia="kai_ti_gb2312" w:cs="kai_ti_gb2312"/>
          <w:b/>
          <w:bCs/>
          <w:kern w:val="0"/>
          <w:sz w:val="27"/>
          <w:szCs w:val="27"/>
          <w:u w:val="none"/>
          <w:lang w:val="en-US" w:eastAsia="zh-CN"/>
        </w:rPr>
        <w:t>（二）单位决算中项目绩效自评结果。</w:t>
      </w:r>
    </w:p>
    <w:p w14:paraId="3F275CF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2023年度在决算中反映</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个一般公共预算项目，以及</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个政府性基金项目，共</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个项目的绩效自评结果。</w:t>
      </w:r>
    </w:p>
    <w:p w14:paraId="399A3355">
      <w:pPr>
        <w:widowControl/>
        <w:numPr>
          <w:ilvl w:val="0"/>
          <w:numId w:val="0"/>
        </w:numPr>
        <w:spacing w:before="240" w:after="240"/>
        <w:ind w:firstLine="640" w:firstLineChars="200"/>
        <w:rPr>
          <w:rFonts w:hint="eastAsia" w:ascii="fang_song_gb2312" w:hAnsi="fang_song_gb2312" w:eastAsia="fang_song_gb2312" w:cs="fang_song_gb2312"/>
          <w:kern w:val="0"/>
          <w:sz w:val="27"/>
          <w:szCs w:val="27"/>
        </w:rPr>
      </w:pPr>
      <w:r>
        <w:rPr>
          <w:rFonts w:hint="eastAsia" w:ascii="仿宋_GB2312" w:hAnsi="仿宋_GB2312" w:eastAsia="仿宋_GB2312" w:cs="仿宋_GB2312"/>
          <w:kern w:val="0"/>
          <w:sz w:val="32"/>
          <w:szCs w:val="32"/>
          <w:u w:val="none"/>
          <w:lang w:val="en-US" w:eastAsia="zh-CN" w:bidi="ar-SA"/>
        </w:rPr>
        <w:t>1.</w:t>
      </w:r>
      <w:r>
        <w:rPr>
          <w:rFonts w:hint="default" w:ascii="仿宋_GB2312" w:hAnsi="仿宋_GB2312" w:eastAsia="仿宋_GB2312" w:cs="仿宋_GB2312"/>
          <w:kern w:val="0"/>
          <w:sz w:val="32"/>
          <w:szCs w:val="32"/>
          <w:u w:val="none"/>
          <w:lang w:val="en-US" w:eastAsia="zh-CN" w:bidi="ar-SA"/>
        </w:rPr>
        <w:t>“科技信息服务平台建设经费项目”自评综述：根据年初设定的绩效目标，项目自评得分</w:t>
      </w:r>
      <w:r>
        <w:rPr>
          <w:rFonts w:hint="eastAsia" w:ascii="仿宋_GB2312" w:hAnsi="仿宋_GB2312" w:eastAsia="仿宋_GB2312" w:cs="仿宋_GB2312"/>
          <w:kern w:val="0"/>
          <w:sz w:val="32"/>
          <w:szCs w:val="32"/>
          <w:u w:val="none"/>
          <w:lang w:val="en-US" w:eastAsia="zh-CN" w:bidi="ar-SA"/>
        </w:rPr>
        <w:t>97.79</w:t>
      </w:r>
      <w:r>
        <w:rPr>
          <w:rFonts w:hint="default" w:ascii="仿宋_GB2312" w:hAnsi="仿宋_GB2312" w:eastAsia="仿宋_GB2312" w:cs="仿宋_GB2312"/>
          <w:kern w:val="0"/>
          <w:sz w:val="32"/>
          <w:szCs w:val="32"/>
          <w:u w:val="none"/>
          <w:lang w:val="en-US" w:eastAsia="zh-CN" w:bidi="ar-SA"/>
        </w:rPr>
        <w:t>分。全年预算数为</w:t>
      </w:r>
      <w:r>
        <w:rPr>
          <w:rFonts w:hint="eastAsia" w:ascii="仿宋_GB2312" w:hAnsi="仿宋_GB2312" w:eastAsia="仿宋_GB2312" w:cs="仿宋_GB2312"/>
          <w:kern w:val="0"/>
          <w:sz w:val="32"/>
          <w:szCs w:val="32"/>
          <w:u w:val="none"/>
          <w:lang w:val="en-US" w:eastAsia="zh-CN" w:bidi="ar-SA"/>
        </w:rPr>
        <w:t>30</w:t>
      </w:r>
      <w:r>
        <w:rPr>
          <w:rFonts w:hint="default" w:ascii="仿宋_GB2312" w:hAnsi="仿宋_GB2312" w:eastAsia="仿宋_GB2312" w:cs="仿宋_GB2312"/>
          <w:kern w:val="0"/>
          <w:sz w:val="32"/>
          <w:szCs w:val="32"/>
          <w:u w:val="none"/>
          <w:lang w:val="en-US" w:eastAsia="zh-CN" w:bidi="ar-SA"/>
        </w:rPr>
        <w:t>万元，执行数为</w:t>
      </w:r>
      <w:r>
        <w:rPr>
          <w:rFonts w:hint="eastAsia" w:ascii="仿宋_GB2312" w:hAnsi="仿宋_GB2312" w:eastAsia="仿宋_GB2312" w:cs="仿宋_GB2312"/>
          <w:kern w:val="0"/>
          <w:sz w:val="32"/>
          <w:szCs w:val="32"/>
          <w:u w:val="none"/>
          <w:lang w:val="en-US" w:eastAsia="zh-CN" w:bidi="ar-SA"/>
        </w:rPr>
        <w:t>29.36</w:t>
      </w:r>
      <w:r>
        <w:rPr>
          <w:rFonts w:hint="default" w:ascii="仿宋_GB2312" w:hAnsi="仿宋_GB2312" w:eastAsia="仿宋_GB2312" w:cs="仿宋_GB2312"/>
          <w:kern w:val="0"/>
          <w:sz w:val="32"/>
          <w:szCs w:val="32"/>
          <w:u w:val="none"/>
          <w:lang w:val="en-US" w:eastAsia="zh-CN" w:bidi="ar-SA"/>
        </w:rPr>
        <w:t>万元，完成预算的</w:t>
      </w:r>
      <w:r>
        <w:rPr>
          <w:rFonts w:hint="eastAsia" w:ascii="仿宋_GB2312" w:hAnsi="仿宋_GB2312" w:eastAsia="仿宋_GB2312" w:cs="仿宋_GB2312"/>
          <w:kern w:val="0"/>
          <w:sz w:val="32"/>
          <w:szCs w:val="32"/>
          <w:u w:val="none"/>
          <w:lang w:val="en-US" w:eastAsia="zh-CN" w:bidi="ar-SA"/>
        </w:rPr>
        <w:t>97.87</w:t>
      </w:r>
      <w:r>
        <w:rPr>
          <w:rFonts w:hint="default" w:ascii="仿宋_GB2312" w:hAnsi="仿宋_GB2312" w:eastAsia="仿宋_GB2312" w:cs="仿宋_GB2312"/>
          <w:kern w:val="0"/>
          <w:sz w:val="32"/>
          <w:szCs w:val="32"/>
          <w:u w:val="none"/>
          <w:lang w:val="en-US" w:eastAsia="zh-CN" w:bidi="ar-SA"/>
        </w:rPr>
        <w:t>%。项目绩效目标完成情况：</w:t>
      </w:r>
      <w:r>
        <w:rPr>
          <w:rFonts w:hint="eastAsia" w:ascii="仿宋_GB2312" w:hAnsi="仿宋_GB2312" w:eastAsia="仿宋_GB2312" w:cs="仿宋_GB2312"/>
          <w:kern w:val="0"/>
          <w:sz w:val="32"/>
          <w:szCs w:val="32"/>
          <w:u w:val="none"/>
          <w:lang w:val="en-US" w:eastAsia="zh-CN" w:bidi="ar-SA"/>
        </w:rPr>
        <w:t>2023年度，我单位建设的科技信息服务平台错别字、敏感词发生率低至2%，错误链接发生率为0%，普查合格率可达到95%。本项目于2023年12月前完成，通过建设科技信息服务平台可长期进行科技宣传，不断提升当地居民和企业的创新创业积极性，用户对该平台的满意度达到80%</w:t>
      </w:r>
      <w:r>
        <w:rPr>
          <w:rFonts w:hint="default" w:ascii="仿宋_GB2312" w:hAnsi="仿宋_GB2312" w:eastAsia="仿宋_GB2312" w:cs="仿宋_GB2312"/>
          <w:kern w:val="0"/>
          <w:sz w:val="32"/>
          <w:szCs w:val="32"/>
          <w:u w:val="none"/>
          <w:lang w:val="en-US" w:eastAsia="zh-CN" w:bidi="ar-SA"/>
        </w:rPr>
        <w:t>。发现的主要问题及原因：</w:t>
      </w:r>
      <w:r>
        <w:rPr>
          <w:rFonts w:hint="eastAsia" w:ascii="仿宋_GB2312" w:hAnsi="仿宋_GB2312" w:eastAsia="仿宋_GB2312" w:cs="仿宋_GB2312"/>
          <w:kern w:val="0"/>
          <w:sz w:val="32"/>
          <w:szCs w:val="32"/>
          <w:u w:val="none"/>
          <w:lang w:val="en-US" w:eastAsia="zh-CN" w:bidi="ar-SA"/>
        </w:rPr>
        <w:t>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w:t>
      </w:r>
      <w:r>
        <w:rPr>
          <w:rFonts w:hint="default" w:ascii="仿宋_GB2312" w:hAnsi="仿宋_GB2312" w:eastAsia="仿宋_GB2312" w:cs="仿宋_GB2312"/>
          <w:kern w:val="0"/>
          <w:sz w:val="32"/>
          <w:szCs w:val="32"/>
          <w:u w:val="none"/>
          <w:lang w:val="en-US" w:eastAsia="zh-CN" w:bidi="ar-SA"/>
        </w:rPr>
        <w:t>下一步改进措施：</w:t>
      </w:r>
      <w:r>
        <w:rPr>
          <w:rFonts w:hint="eastAsia" w:ascii="仿宋_GB2312" w:hAnsi="仿宋_GB2312" w:eastAsia="仿宋_GB2312" w:cs="仿宋_GB2312"/>
          <w:kern w:val="0"/>
          <w:sz w:val="32"/>
          <w:szCs w:val="32"/>
          <w:u w:val="none"/>
          <w:lang w:val="en-US" w:eastAsia="zh-CN" w:bidi="ar-SA"/>
        </w:rPr>
        <w:t xml:space="preserve"> 进一步加强项目预算的编制和执行，确保资金使用合理、透明，并及时进行预算调整和监控。建立定期的项目立项流程评估机制，及时发现并解决可能存在的问题，确保程序的及时性、准确性和有效性。</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502"/>
        <w:gridCol w:w="708"/>
        <w:gridCol w:w="814"/>
        <w:gridCol w:w="475"/>
        <w:gridCol w:w="475"/>
        <w:gridCol w:w="502"/>
        <w:gridCol w:w="1068"/>
        <w:gridCol w:w="927"/>
        <w:gridCol w:w="672"/>
        <w:gridCol w:w="866"/>
        <w:gridCol w:w="2379"/>
      </w:tblGrid>
      <w:tr w14:paraId="72C4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B14BC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02AA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8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443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科技信息服务平台建设经费</w:t>
            </w:r>
          </w:p>
        </w:tc>
      </w:tr>
      <w:tr w14:paraId="3B3C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2C0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80C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321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0D7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2BCF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9A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B187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0F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1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B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93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55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B0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7D5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DD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76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4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16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5E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D0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D7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FD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r>
      <w:tr w14:paraId="6DA5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5F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1A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E0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A4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1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3DC9">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E2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AD6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39F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A6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B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AB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F2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02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47C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55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EC3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CDD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81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EA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12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9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5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D55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BF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7BA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6E7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E1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64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D0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870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9A9C9">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29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B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建设的科技信息服务平台错别字、敏感词发生率低至2%，错误链接发生率为0%，普查合格率可达到95%。本项目于2023年12月前完成，通过建设科技信息服务平台可长期进行科技宣传，不断提升当地居民和企业的创新创业积极性，用户对该平台的满意度达到80%。</w:t>
            </w:r>
          </w:p>
        </w:tc>
      </w:tr>
      <w:tr w14:paraId="346A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EB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4D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A5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E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7F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6E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F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91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8C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4D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A2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47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A3F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E71D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C987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AFD9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80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错别字敏感词情况发生率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812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E3E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2C4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6CA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C13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D3E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55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6A4B59">
            <w:pPr>
              <w:jc w:val="center"/>
              <w:rPr>
                <w:rFonts w:hint="eastAsia" w:ascii="宋体" w:hAnsi="宋体" w:eastAsia="宋体" w:cs="宋体"/>
                <w:i w:val="0"/>
                <w:iCs w:val="0"/>
                <w:color w:val="000000"/>
                <w:sz w:val="18"/>
                <w:szCs w:val="18"/>
                <w:u w:val="none"/>
              </w:rPr>
            </w:pPr>
          </w:p>
        </w:tc>
      </w:tr>
      <w:tr w14:paraId="070E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BBBA4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B3766A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4D983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100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错误链接发生率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C7F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240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56A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B2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DA1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A0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A0C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AABBBB">
            <w:pPr>
              <w:jc w:val="center"/>
              <w:rPr>
                <w:rFonts w:hint="eastAsia" w:ascii="宋体" w:hAnsi="宋体" w:eastAsia="宋体" w:cs="宋体"/>
                <w:i w:val="0"/>
                <w:iCs w:val="0"/>
                <w:color w:val="000000"/>
                <w:sz w:val="18"/>
                <w:szCs w:val="18"/>
                <w:u w:val="none"/>
              </w:rPr>
            </w:pPr>
          </w:p>
        </w:tc>
      </w:tr>
      <w:tr w14:paraId="57EB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CBFB64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48BB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5BF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BC4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普查合格率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640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5A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95C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004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90C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16F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4AF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8590DB">
            <w:pPr>
              <w:jc w:val="center"/>
              <w:rPr>
                <w:rFonts w:hint="eastAsia" w:ascii="宋体" w:hAnsi="宋体" w:eastAsia="宋体" w:cs="宋体"/>
                <w:i w:val="0"/>
                <w:iCs w:val="0"/>
                <w:color w:val="000000"/>
                <w:sz w:val="18"/>
                <w:szCs w:val="18"/>
                <w:u w:val="none"/>
              </w:rPr>
            </w:pPr>
          </w:p>
        </w:tc>
      </w:tr>
      <w:tr w14:paraId="6A9F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9A1998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40EE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1E5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C5C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错误整改时限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EE4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C0B3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9A1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53D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EA50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E81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A67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671359">
            <w:pPr>
              <w:jc w:val="center"/>
              <w:rPr>
                <w:rFonts w:hint="eastAsia" w:ascii="宋体" w:hAnsi="宋体" w:eastAsia="宋体" w:cs="宋体"/>
                <w:i w:val="0"/>
                <w:iCs w:val="0"/>
                <w:color w:val="000000"/>
                <w:sz w:val="18"/>
                <w:szCs w:val="18"/>
                <w:u w:val="none"/>
              </w:rPr>
            </w:pPr>
          </w:p>
        </w:tc>
      </w:tr>
      <w:tr w14:paraId="6F43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AC5BC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EED6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D30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A5B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545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DF1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7CF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159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D7C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BDA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F29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4F2D66">
            <w:pPr>
              <w:jc w:val="center"/>
              <w:rPr>
                <w:rFonts w:hint="eastAsia" w:ascii="宋体" w:hAnsi="宋体" w:eastAsia="宋体" w:cs="宋体"/>
                <w:i w:val="0"/>
                <w:iCs w:val="0"/>
                <w:color w:val="000000"/>
                <w:sz w:val="18"/>
                <w:szCs w:val="18"/>
                <w:u w:val="none"/>
              </w:rPr>
            </w:pPr>
          </w:p>
        </w:tc>
      </w:tr>
      <w:tr w14:paraId="14D6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E059AF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E650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759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03D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科技宣传</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580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1790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5B4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A0C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126C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D9C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66A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7D2CA5">
            <w:pPr>
              <w:jc w:val="center"/>
              <w:rPr>
                <w:rFonts w:hint="eastAsia" w:ascii="宋体" w:hAnsi="宋体" w:eastAsia="宋体" w:cs="宋体"/>
                <w:i w:val="0"/>
                <w:iCs w:val="0"/>
                <w:color w:val="000000"/>
                <w:sz w:val="18"/>
                <w:szCs w:val="18"/>
                <w:u w:val="none"/>
              </w:rPr>
            </w:pPr>
          </w:p>
        </w:tc>
      </w:tr>
      <w:tr w14:paraId="22DB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D3097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0D491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77B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62A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C3E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68AE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37E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18D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4D16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9A7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DB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358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36B5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298A4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8EA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D51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764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C3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07E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1E9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D3A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CA4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495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6BB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5ECFA8">
            <w:pPr>
              <w:jc w:val="center"/>
              <w:rPr>
                <w:rFonts w:hint="eastAsia" w:ascii="宋体" w:hAnsi="宋体" w:eastAsia="宋体" w:cs="宋体"/>
                <w:i w:val="0"/>
                <w:iCs w:val="0"/>
                <w:color w:val="000000"/>
                <w:sz w:val="18"/>
                <w:szCs w:val="18"/>
                <w:u w:val="none"/>
              </w:rPr>
            </w:pPr>
          </w:p>
        </w:tc>
      </w:tr>
      <w:tr w14:paraId="6AB5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05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2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4C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C56E9">
            <w:pPr>
              <w:jc w:val="center"/>
              <w:rPr>
                <w:rFonts w:hint="eastAsia" w:ascii="宋体" w:hAnsi="宋体" w:eastAsia="宋体" w:cs="宋体"/>
                <w:i w:val="0"/>
                <w:iCs w:val="0"/>
                <w:color w:val="000000"/>
                <w:sz w:val="18"/>
                <w:szCs w:val="18"/>
                <w:u w:val="none"/>
              </w:rPr>
            </w:pPr>
          </w:p>
        </w:tc>
      </w:tr>
    </w:tbl>
    <w:p w14:paraId="47D6DEE9">
      <w:pPr>
        <w:numPr>
          <w:ilvl w:val="0"/>
          <w:numId w:val="0"/>
        </w:numPr>
        <w:spacing w:line="240" w:lineRule="auto"/>
        <w:ind w:left="240" w:leftChars="0" w:firstLine="540" w:firstLineChars="200"/>
        <w:rPr>
          <w:rFonts w:hint="eastAsia" w:ascii="fang_song_gb2312" w:hAnsi="fang_song_gb2312" w:eastAsia="fang_song_gb2312" w:cs="fang_song_gb2312"/>
          <w:kern w:val="0"/>
          <w:sz w:val="27"/>
          <w:szCs w:val="27"/>
        </w:rPr>
      </w:pPr>
    </w:p>
    <w:p w14:paraId="46F54F24">
      <w:pPr>
        <w:widowControl/>
        <w:spacing w:before="240" w:after="240"/>
        <w:ind w:firstLine="485"/>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科技特派员工作经费项目”自评综述：根据年初设定的绩效目标，项目自评得分85.49分。全年预算数为1113万元，执行数为55.09万元，完成预算的4.95%。项目绩效目标完成情况：2023年度，我单位使用科技特派员工作经费下派市级科技特派员202名，升级管理推广小程序1次，聘任科技特派员工作顾问3人，宣传科技特派员工作成效3次，认定市级科技特派员工作站5家，小程序正常运行率达到100%，科技特派员工作站形式审查合格率达90%，被服务对象满意度达90%。以上活动均在2023年12月前完成，通过实施以上活动，稳步促进农牧民增收，促进科技成果在农牧业的转移转化，全面推进乡村振兴战略的实施</w:t>
      </w:r>
      <w:r>
        <w:rPr>
          <w:rFonts w:hint="eastAsia" w:ascii="fang_song_gb2312" w:hAnsi="fang_song_gb2312" w:eastAsia="fang_song_gb2312" w:cs="fang_song_gb2312"/>
          <w:kern w:val="0"/>
          <w:sz w:val="27"/>
          <w:szCs w:val="27"/>
        </w:rPr>
        <w:t>。</w:t>
      </w:r>
      <w:r>
        <w:rPr>
          <w:rFonts w:hint="eastAsia" w:ascii="仿宋_GB2312" w:hAnsi="仿宋_GB2312" w:eastAsia="仿宋_GB2312" w:cs="仿宋_GB2312"/>
          <w:kern w:val="0"/>
          <w:sz w:val="32"/>
          <w:szCs w:val="32"/>
          <w:u w:val="none"/>
          <w:lang w:val="en-US" w:eastAsia="zh-CN" w:bidi="ar-SA"/>
        </w:rPr>
        <w:t>发现的主要问题及原因：本项目立项实施，均按照规定的程序申请设立，不存在问题，项目2023年度有序推进，有效壮大科技人才队伍规模，推动国内外人才技术项目资金等创新要素向我市集聚。项目整体实施进度较为缓慢，评选流程、环节相对滞后。本项目专款专用，统筹安排，按照计划管理，按照实际发生支付，实际支出与项目规定的用途一致，不存在超范围超标准支出，挤占挪用等违法违规问题，资金管理不存在问题。下一步改进措施：继续按照相关管理文件、政策文件的要求立项，继续加强项目立项的规范性，进一步完善项目的设立。加强项目管理和协调，建立健全的工作流程和沟通机制，提高工作效率和协作效果加快建立绩效评估体系，对项目的资金使用效果进行定期评估，及时发现问题并进行改进。</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443"/>
        <w:gridCol w:w="808"/>
        <w:gridCol w:w="1455"/>
        <w:gridCol w:w="573"/>
        <w:gridCol w:w="560"/>
        <w:gridCol w:w="800"/>
        <w:gridCol w:w="797"/>
        <w:gridCol w:w="693"/>
        <w:gridCol w:w="538"/>
        <w:gridCol w:w="719"/>
        <w:gridCol w:w="2046"/>
      </w:tblGrid>
      <w:tr w14:paraId="6F68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AF97C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437E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F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2B3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科技特派员工作经费</w:t>
            </w:r>
          </w:p>
        </w:tc>
      </w:tr>
      <w:tr w14:paraId="399E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1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D7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CB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6B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0F20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A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1473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C2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D5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8C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38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A7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6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2D8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D4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E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B7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12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3D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B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5F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7E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14:paraId="0E76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73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B3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47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4A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17EB">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6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D4C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828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5F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E0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5A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9F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D9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C45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014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928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AAA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70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BA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8D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36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A2B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16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51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73C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B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75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F4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F3B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26BF">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86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制度是一项源于基层探索、群众需要、实践创新的制度安排，主要目的是引导各类科技创新创业人才和单位整合科技、信息、资金、管理等现代生产要素，深入农村牧区基层一线开展科技创业和服务，与农牧民建立“风险共担、利益共享”的共同体，推动农村牧区创新创业深入开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04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使用科技特派员工作经费下派市级科技特派员202名，升级管理推广小程序1次，聘任科技特派员工作顾问3人，宣传科技特派员工作成效3次，认定市级科技特派员工作站5家，小程序正常运行率达到100%，科技特派员工作站形式审查合格率达90%，被服务对象满意度达90%。以上活动均在2023年12月前完成，通过实施以上活动，稳步促进农牧民增收，促进科技成果在农牧业的转移转化，全面推进乡村振兴战略的实施。</w:t>
            </w:r>
          </w:p>
        </w:tc>
      </w:tr>
      <w:tr w14:paraId="2439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49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5E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15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EE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9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A8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65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FA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7D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F2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DC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0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61A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6E3F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F47A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37C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42D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下派市级科技特派员人数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FD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D66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194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2DC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521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D4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EC6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6D4C2B">
            <w:pPr>
              <w:jc w:val="center"/>
              <w:rPr>
                <w:rFonts w:hint="eastAsia" w:ascii="宋体" w:hAnsi="宋体" w:eastAsia="宋体" w:cs="宋体"/>
                <w:i w:val="0"/>
                <w:iCs w:val="0"/>
                <w:color w:val="000000"/>
                <w:sz w:val="18"/>
                <w:szCs w:val="18"/>
                <w:u w:val="none"/>
              </w:rPr>
            </w:pPr>
          </w:p>
        </w:tc>
      </w:tr>
      <w:tr w14:paraId="52B6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53889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532D0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FE15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70E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升级管理推广小程序数量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504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1B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75E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AC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D0B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F28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7E3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A490D1">
            <w:pPr>
              <w:jc w:val="center"/>
              <w:rPr>
                <w:rFonts w:hint="eastAsia" w:ascii="宋体" w:hAnsi="宋体" w:eastAsia="宋体" w:cs="宋体"/>
                <w:i w:val="0"/>
                <w:iCs w:val="0"/>
                <w:color w:val="000000"/>
                <w:sz w:val="18"/>
                <w:szCs w:val="18"/>
                <w:u w:val="none"/>
              </w:rPr>
            </w:pPr>
          </w:p>
        </w:tc>
      </w:tr>
      <w:tr w14:paraId="1428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7C93F9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AD9B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534BE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496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聘任科技特派员工作顾问</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AF6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8D5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CC3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426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3C5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DFC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72D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F2F9E8">
            <w:pPr>
              <w:jc w:val="center"/>
              <w:rPr>
                <w:rFonts w:hint="eastAsia" w:ascii="宋体" w:hAnsi="宋体" w:eastAsia="宋体" w:cs="宋体"/>
                <w:i w:val="0"/>
                <w:iCs w:val="0"/>
                <w:color w:val="000000"/>
                <w:sz w:val="18"/>
                <w:szCs w:val="18"/>
                <w:u w:val="none"/>
              </w:rPr>
            </w:pPr>
          </w:p>
        </w:tc>
      </w:tr>
      <w:tr w14:paraId="4986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D3C66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E73EE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71A1C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352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宣传科技特派员工作成效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1E8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32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56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8EB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144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83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99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246C0D">
            <w:pPr>
              <w:jc w:val="center"/>
              <w:rPr>
                <w:rFonts w:hint="eastAsia" w:ascii="宋体" w:hAnsi="宋体" w:eastAsia="宋体" w:cs="宋体"/>
                <w:i w:val="0"/>
                <w:iCs w:val="0"/>
                <w:color w:val="000000"/>
                <w:sz w:val="18"/>
                <w:szCs w:val="18"/>
                <w:u w:val="none"/>
              </w:rPr>
            </w:pPr>
          </w:p>
        </w:tc>
      </w:tr>
      <w:tr w14:paraId="2599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8BE94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401C27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435B2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CA5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认定市级科技特派员工作站</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11D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0A4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A91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3AE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33F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19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EBD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3183C5">
            <w:pPr>
              <w:jc w:val="center"/>
              <w:rPr>
                <w:rFonts w:hint="eastAsia" w:ascii="宋体" w:hAnsi="宋体" w:eastAsia="宋体" w:cs="宋体"/>
                <w:i w:val="0"/>
                <w:iCs w:val="0"/>
                <w:color w:val="000000"/>
                <w:sz w:val="18"/>
                <w:szCs w:val="18"/>
                <w:u w:val="none"/>
              </w:rPr>
            </w:pPr>
          </w:p>
        </w:tc>
      </w:tr>
      <w:tr w14:paraId="146A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75159B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A6C30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479B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459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程序正常运行率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37D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6E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C24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631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A57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8D7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FE7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E83117">
            <w:pPr>
              <w:jc w:val="center"/>
              <w:rPr>
                <w:rFonts w:hint="eastAsia" w:ascii="宋体" w:hAnsi="宋体" w:eastAsia="宋体" w:cs="宋体"/>
                <w:i w:val="0"/>
                <w:iCs w:val="0"/>
                <w:color w:val="000000"/>
                <w:sz w:val="18"/>
                <w:szCs w:val="18"/>
                <w:u w:val="none"/>
              </w:rPr>
            </w:pPr>
          </w:p>
        </w:tc>
      </w:tr>
      <w:tr w14:paraId="0435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F9024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FAE43B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7CE6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638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科技特派员工作站形式审查合格率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801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DEB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1CA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F7A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A62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09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FE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CF1458">
            <w:pPr>
              <w:jc w:val="center"/>
              <w:rPr>
                <w:rFonts w:hint="eastAsia" w:ascii="宋体" w:hAnsi="宋体" w:eastAsia="宋体" w:cs="宋体"/>
                <w:i w:val="0"/>
                <w:iCs w:val="0"/>
                <w:color w:val="000000"/>
                <w:sz w:val="18"/>
                <w:szCs w:val="18"/>
                <w:u w:val="none"/>
              </w:rPr>
            </w:pPr>
          </w:p>
        </w:tc>
      </w:tr>
      <w:tr w14:paraId="781F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B1A69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14E99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F5DC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70B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评选优秀科技特派员时间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9D4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12FB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1C1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2FB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8CC1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0E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C56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FB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694A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E9AE2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99958A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3BC9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163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认定市级科技特派员工作站时间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4A9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A592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4A1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E3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51D5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60D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89C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827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08D9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97E06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21E627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A9C7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11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科技特派员科技成果转化推广项目立项时间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A29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08EE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CB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C41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ED15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63D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F55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77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2EB6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BF69DD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AC70D3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99D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7D3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下派科技特派员成本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0BA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07B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AAE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D74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34D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6A2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90C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D79709">
            <w:pPr>
              <w:jc w:val="center"/>
              <w:rPr>
                <w:rFonts w:hint="eastAsia" w:ascii="宋体" w:hAnsi="宋体" w:eastAsia="宋体" w:cs="宋体"/>
                <w:i w:val="0"/>
                <w:iCs w:val="0"/>
                <w:color w:val="000000"/>
                <w:sz w:val="18"/>
                <w:szCs w:val="18"/>
                <w:u w:val="none"/>
              </w:rPr>
            </w:pPr>
          </w:p>
        </w:tc>
      </w:tr>
      <w:tr w14:paraId="2C4E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B4DC18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C375E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8ED1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93F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实施科技特派员科技成果转化推广项目成本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D5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F5D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160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F62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561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1DD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332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18FF75">
            <w:pPr>
              <w:jc w:val="center"/>
              <w:rPr>
                <w:rFonts w:hint="eastAsia" w:ascii="宋体" w:hAnsi="宋体" w:eastAsia="宋体" w:cs="宋体"/>
                <w:i w:val="0"/>
                <w:iCs w:val="0"/>
                <w:color w:val="000000"/>
                <w:sz w:val="18"/>
                <w:szCs w:val="18"/>
                <w:u w:val="none"/>
              </w:rPr>
            </w:pPr>
          </w:p>
        </w:tc>
      </w:tr>
      <w:tr w14:paraId="3C9B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12EF8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7D67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4C75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932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促进农牧民增收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F5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1877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103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F38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B2F5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BFB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7CA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252BF7">
            <w:pPr>
              <w:jc w:val="center"/>
              <w:rPr>
                <w:rFonts w:hint="eastAsia" w:ascii="宋体" w:hAnsi="宋体" w:eastAsia="宋体" w:cs="宋体"/>
                <w:i w:val="0"/>
                <w:iCs w:val="0"/>
                <w:color w:val="000000"/>
                <w:sz w:val="18"/>
                <w:szCs w:val="18"/>
                <w:u w:val="none"/>
              </w:rPr>
            </w:pPr>
          </w:p>
        </w:tc>
      </w:tr>
      <w:tr w14:paraId="2043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2CAA64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5D780B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9F737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BE6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促进农牧业增收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F21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E1F5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2CE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C61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CC05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C7A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311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E6396B">
            <w:pPr>
              <w:jc w:val="center"/>
              <w:rPr>
                <w:rFonts w:hint="eastAsia" w:ascii="宋体" w:hAnsi="宋体" w:eastAsia="宋体" w:cs="宋体"/>
                <w:i w:val="0"/>
                <w:iCs w:val="0"/>
                <w:color w:val="000000"/>
                <w:sz w:val="18"/>
                <w:szCs w:val="18"/>
                <w:u w:val="none"/>
              </w:rPr>
            </w:pPr>
          </w:p>
        </w:tc>
      </w:tr>
      <w:tr w14:paraId="179A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9D28D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C6D4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B6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152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促进乡村振兴战略实施</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22A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8E9C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32C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0F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FD59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515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713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79E2D8">
            <w:pPr>
              <w:jc w:val="center"/>
              <w:rPr>
                <w:rFonts w:hint="eastAsia" w:ascii="宋体" w:hAnsi="宋体" w:eastAsia="宋体" w:cs="宋体"/>
                <w:i w:val="0"/>
                <w:iCs w:val="0"/>
                <w:color w:val="000000"/>
                <w:sz w:val="18"/>
                <w:szCs w:val="18"/>
                <w:u w:val="none"/>
              </w:rPr>
            </w:pPr>
          </w:p>
        </w:tc>
      </w:tr>
      <w:tr w14:paraId="457F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6279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463D8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3AF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FA2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项目可持续发挥作用的期限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431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FFDB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ED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DE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4F47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7D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9DA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BA0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0D43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88D9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63D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C31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4EC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农牧民满意度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3A3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169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4D6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9B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7E3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21A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C87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B31A28">
            <w:pPr>
              <w:jc w:val="center"/>
              <w:rPr>
                <w:rFonts w:hint="eastAsia" w:ascii="宋体" w:hAnsi="宋体" w:eastAsia="宋体" w:cs="宋体"/>
                <w:i w:val="0"/>
                <w:iCs w:val="0"/>
                <w:color w:val="000000"/>
                <w:sz w:val="18"/>
                <w:szCs w:val="18"/>
                <w:u w:val="none"/>
              </w:rPr>
            </w:pPr>
          </w:p>
        </w:tc>
      </w:tr>
      <w:tr w14:paraId="2DFA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279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F2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F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7554F">
            <w:pPr>
              <w:jc w:val="center"/>
              <w:rPr>
                <w:rFonts w:hint="eastAsia" w:ascii="宋体" w:hAnsi="宋体" w:eastAsia="宋体" w:cs="宋体"/>
                <w:i w:val="0"/>
                <w:iCs w:val="0"/>
                <w:color w:val="000000"/>
                <w:sz w:val="18"/>
                <w:szCs w:val="18"/>
                <w:u w:val="none"/>
              </w:rPr>
            </w:pPr>
          </w:p>
        </w:tc>
      </w:tr>
    </w:tbl>
    <w:p w14:paraId="38DB71DC">
      <w:pPr>
        <w:numPr>
          <w:ilvl w:val="0"/>
          <w:numId w:val="0"/>
        </w:numPr>
        <w:spacing w:line="240" w:lineRule="auto"/>
        <w:ind w:firstLine="540" w:firstLineChars="200"/>
        <w:rPr>
          <w:rFonts w:ascii="fang_song_gb2312" w:hAnsi="fang_song_gb2312" w:eastAsia="fang_song_gb2312" w:cs="fang_song_gb2312"/>
          <w:kern w:val="0"/>
          <w:sz w:val="27"/>
          <w:szCs w:val="27"/>
          <w:highlight w:val="none"/>
        </w:rPr>
      </w:pPr>
    </w:p>
    <w:p w14:paraId="7BBF256E">
      <w:pPr>
        <w:keepNext w:val="0"/>
        <w:keepLines w:val="0"/>
        <w:widowControl/>
        <w:numPr>
          <w:ilvl w:val="0"/>
          <w:numId w:val="0"/>
        </w:numPr>
        <w:suppressLineNumbers w:val="0"/>
        <w:ind w:firstLine="640" w:firstLineChars="200"/>
        <w:jc w:val="both"/>
        <w:textAlignment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科技成果转化技术咨询服务经费项目”自评综述：根据年初设定的绩效目标，项目自评得分90分。全年预算数为100万元，执行数为60万元，完成预算的60.00%。项目绩效目标完成情况：2023年度，我单位使用科技成果转化技术咨询服务经费，引进院士或同等级专家团队1支，与鄂尔多斯1家企业签约共建院士专家工作站，培育自治区级企业科技创新平台1个，转化科技成果或引育科技型企业3家在当地注册，开展科技交流活动10次，企业满意度为80%。通过实施以上活动，稳步提升企业创新意识和拓展技术合作渠道，促进科成果转移转化，持续推动全市科技事业发展。发现的主要问题及原因：成本指标年初指标值设置不合理，考虑不全面。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下一步改进措施：下一年编制绩效目标时，应根据指标内容及实际情况制定合理的指标数值。 继续严格按照财务管理相关制度，对项目资金进行规范管理，严格执行相关审批程序和手续，确保项目实际支出与项目规定的用途一致。建立定期的项目立项流程评估机制，及时发现并解决可能存在的问题，确保程序的及时性、准确性和有效性。</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464"/>
        <w:gridCol w:w="661"/>
        <w:gridCol w:w="1028"/>
        <w:gridCol w:w="447"/>
        <w:gridCol w:w="447"/>
        <w:gridCol w:w="1004"/>
        <w:gridCol w:w="926"/>
        <w:gridCol w:w="751"/>
        <w:gridCol w:w="576"/>
        <w:gridCol w:w="495"/>
        <w:gridCol w:w="2618"/>
      </w:tblGrid>
      <w:tr w14:paraId="773B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EECB9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4CB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318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8E4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科技成果转化技术咨询服务经费</w:t>
            </w:r>
          </w:p>
        </w:tc>
      </w:tr>
      <w:tr w14:paraId="009C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460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12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72B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D3F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4781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2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672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14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9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E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E8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FC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75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8B7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C29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83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33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0F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F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51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1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9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038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D44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68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C8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61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6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C067">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B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24A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03D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B3F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B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3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4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2E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1F7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7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A79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807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71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6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F7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7B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1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EB5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A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227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F54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02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54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D3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4EE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2597">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63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01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使用科技成果转化技术咨询服务经费，引进院士或同等级专家团队1支，与鄂尔多斯1家企业签约共建院士专家工作站，培育自治区级企业科技创新平台1个，转化科技成果或引育科技型企业3家在当地注册，开展科技交流活动10次，企业满意度为80%。通过实施以上活动，稳步</w:t>
            </w:r>
            <w:r>
              <w:rPr>
                <w:rFonts w:hint="eastAsia" w:ascii="宋体" w:hAnsi="宋体" w:cs="宋体"/>
                <w:i w:val="0"/>
                <w:iCs w:val="0"/>
                <w:color w:val="000000"/>
                <w:kern w:val="0"/>
                <w:sz w:val="18"/>
                <w:szCs w:val="18"/>
                <w:u w:val="none"/>
                <w:lang w:val="en-US" w:eastAsia="zh-CN" w:bidi="ar"/>
              </w:rPr>
              <w:t>提升</w:t>
            </w:r>
            <w:r>
              <w:rPr>
                <w:rFonts w:hint="eastAsia" w:ascii="宋体" w:hAnsi="宋体" w:eastAsia="宋体" w:cs="宋体"/>
                <w:i w:val="0"/>
                <w:iCs w:val="0"/>
                <w:color w:val="000000"/>
                <w:kern w:val="0"/>
                <w:sz w:val="18"/>
                <w:szCs w:val="18"/>
                <w:u w:val="none"/>
                <w:lang w:val="en-US" w:eastAsia="zh-CN" w:bidi="ar"/>
              </w:rPr>
              <w:t>企业创新意识和拓展技术合作渠道，促进科技成果转移转化，持续推动全市科技事业发展。</w:t>
            </w:r>
          </w:p>
        </w:tc>
      </w:tr>
      <w:tr w14:paraId="2291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64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7D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C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E7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9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F1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F9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7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B8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44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93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8A3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A04F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E66E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953B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04C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引进院士或同等级专家团队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D84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26D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2A2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FE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5E1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86D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E7C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4B0DA7">
            <w:pPr>
              <w:jc w:val="center"/>
              <w:rPr>
                <w:rFonts w:hint="eastAsia" w:ascii="宋体" w:hAnsi="宋体" w:eastAsia="宋体" w:cs="宋体"/>
                <w:i w:val="0"/>
                <w:iCs w:val="0"/>
                <w:color w:val="000000"/>
                <w:sz w:val="18"/>
                <w:szCs w:val="18"/>
                <w:u w:val="none"/>
              </w:rPr>
            </w:pPr>
          </w:p>
        </w:tc>
      </w:tr>
      <w:tr w14:paraId="279E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A42537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A9ADE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EC54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0CC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与鄂尔多斯企业签约共建院士专家工作站</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DBE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F3A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E73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0FB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04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42A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1DF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57904D">
            <w:pPr>
              <w:jc w:val="center"/>
              <w:rPr>
                <w:rFonts w:hint="eastAsia" w:ascii="宋体" w:hAnsi="宋体" w:eastAsia="宋体" w:cs="宋体"/>
                <w:i w:val="0"/>
                <w:iCs w:val="0"/>
                <w:color w:val="000000"/>
                <w:sz w:val="18"/>
                <w:szCs w:val="18"/>
                <w:u w:val="none"/>
              </w:rPr>
            </w:pPr>
          </w:p>
        </w:tc>
      </w:tr>
      <w:tr w14:paraId="1A9E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879AE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E97E1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74CB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668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培育自治区级企业科技创新平台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7EC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473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22A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354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7A9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32E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C30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DC7A6F">
            <w:pPr>
              <w:jc w:val="center"/>
              <w:rPr>
                <w:rFonts w:hint="eastAsia" w:ascii="宋体" w:hAnsi="宋体" w:eastAsia="宋体" w:cs="宋体"/>
                <w:i w:val="0"/>
                <w:iCs w:val="0"/>
                <w:color w:val="000000"/>
                <w:sz w:val="18"/>
                <w:szCs w:val="18"/>
                <w:u w:val="none"/>
              </w:rPr>
            </w:pPr>
          </w:p>
        </w:tc>
      </w:tr>
      <w:tr w14:paraId="454C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417472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6A32E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57EB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D0A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转化科技成果或引育科技型企业在当地注册</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54D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8B2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CE8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275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8DA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C0F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7E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DD8ADE">
            <w:pPr>
              <w:jc w:val="center"/>
              <w:rPr>
                <w:rFonts w:hint="eastAsia" w:ascii="宋体" w:hAnsi="宋体" w:eastAsia="宋体" w:cs="宋体"/>
                <w:i w:val="0"/>
                <w:iCs w:val="0"/>
                <w:color w:val="000000"/>
                <w:sz w:val="18"/>
                <w:szCs w:val="18"/>
                <w:u w:val="none"/>
              </w:rPr>
            </w:pPr>
          </w:p>
        </w:tc>
      </w:tr>
      <w:tr w14:paraId="49CB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26F55B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7271E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031D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162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促成技术交易额</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71F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B25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1C9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706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64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E98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CE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86EA79">
            <w:pPr>
              <w:jc w:val="center"/>
              <w:rPr>
                <w:rFonts w:hint="eastAsia" w:ascii="宋体" w:hAnsi="宋体" w:eastAsia="宋体" w:cs="宋体"/>
                <w:i w:val="0"/>
                <w:iCs w:val="0"/>
                <w:color w:val="000000"/>
                <w:sz w:val="18"/>
                <w:szCs w:val="18"/>
                <w:u w:val="none"/>
              </w:rPr>
            </w:pPr>
          </w:p>
        </w:tc>
      </w:tr>
      <w:tr w14:paraId="091C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17326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33B18D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287DC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F57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开展科技交流活动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36F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572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607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11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5D5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81A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900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B34646">
            <w:pPr>
              <w:jc w:val="center"/>
              <w:rPr>
                <w:rFonts w:hint="eastAsia" w:ascii="宋体" w:hAnsi="宋体" w:eastAsia="宋体" w:cs="宋体"/>
                <w:i w:val="0"/>
                <w:iCs w:val="0"/>
                <w:color w:val="000000"/>
                <w:sz w:val="18"/>
                <w:szCs w:val="18"/>
                <w:u w:val="none"/>
              </w:rPr>
            </w:pPr>
          </w:p>
        </w:tc>
      </w:tr>
      <w:tr w14:paraId="3150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A88F97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35447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53E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FA6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各项活动期限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122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6AF1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EBC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ECE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A75B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4D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AEC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AF5C6B">
            <w:pPr>
              <w:jc w:val="center"/>
              <w:rPr>
                <w:rFonts w:hint="eastAsia" w:ascii="宋体" w:hAnsi="宋体" w:eastAsia="宋体" w:cs="宋体"/>
                <w:i w:val="0"/>
                <w:iCs w:val="0"/>
                <w:color w:val="000000"/>
                <w:sz w:val="18"/>
                <w:szCs w:val="18"/>
                <w:u w:val="none"/>
              </w:rPr>
            </w:pPr>
          </w:p>
        </w:tc>
      </w:tr>
      <w:tr w14:paraId="4A25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B446D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206EF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18A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07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3E5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CDF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A2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AB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645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959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88A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0BD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年初指标值设置不合理，考虑不全面。下一年编制绩效目标时，应根据指标内容及实际情况制定合理的指标数值。</w:t>
            </w:r>
          </w:p>
        </w:tc>
      </w:tr>
      <w:tr w14:paraId="53B3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BCC62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7281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1AF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9BC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提升企业创新意识和拓展技术合作渠道</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3C2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1465F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DDD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CA6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AF85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697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7A2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0D00C5">
            <w:pPr>
              <w:jc w:val="center"/>
              <w:rPr>
                <w:rFonts w:hint="eastAsia" w:ascii="宋体" w:hAnsi="宋体" w:eastAsia="宋体" w:cs="宋体"/>
                <w:i w:val="0"/>
                <w:iCs w:val="0"/>
                <w:color w:val="000000"/>
                <w:sz w:val="18"/>
                <w:szCs w:val="18"/>
                <w:u w:val="none"/>
              </w:rPr>
            </w:pPr>
          </w:p>
        </w:tc>
      </w:tr>
      <w:tr w14:paraId="7AFF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345B51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26C1C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82D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010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1B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AFF7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061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A26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A291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2FD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78A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568429">
            <w:pPr>
              <w:jc w:val="center"/>
              <w:rPr>
                <w:rFonts w:hint="eastAsia" w:ascii="宋体" w:hAnsi="宋体" w:eastAsia="宋体" w:cs="宋体"/>
                <w:i w:val="0"/>
                <w:iCs w:val="0"/>
                <w:color w:val="000000"/>
                <w:sz w:val="18"/>
                <w:szCs w:val="18"/>
                <w:u w:val="none"/>
              </w:rPr>
            </w:pPr>
          </w:p>
        </w:tc>
      </w:tr>
      <w:tr w14:paraId="12D2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E8D1A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FDC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57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F0C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A6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7EC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1A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71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29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B59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9D2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42D79F">
            <w:pPr>
              <w:jc w:val="center"/>
              <w:rPr>
                <w:rFonts w:hint="eastAsia" w:ascii="宋体" w:hAnsi="宋体" w:eastAsia="宋体" w:cs="宋体"/>
                <w:i w:val="0"/>
                <w:iCs w:val="0"/>
                <w:color w:val="000000"/>
                <w:sz w:val="18"/>
                <w:szCs w:val="18"/>
                <w:u w:val="none"/>
              </w:rPr>
            </w:pPr>
          </w:p>
        </w:tc>
      </w:tr>
      <w:tr w14:paraId="44E7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B9A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ED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37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FE084">
            <w:pPr>
              <w:jc w:val="center"/>
              <w:rPr>
                <w:rFonts w:hint="eastAsia" w:ascii="宋体" w:hAnsi="宋体" w:eastAsia="宋体" w:cs="宋体"/>
                <w:i w:val="0"/>
                <w:iCs w:val="0"/>
                <w:color w:val="000000"/>
                <w:sz w:val="18"/>
                <w:szCs w:val="18"/>
                <w:u w:val="none"/>
              </w:rPr>
            </w:pPr>
          </w:p>
        </w:tc>
      </w:tr>
    </w:tbl>
    <w:p w14:paraId="1C850429">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7C88B20A">
      <w:pPr>
        <w:keepNext w:val="0"/>
        <w:keepLines w:val="0"/>
        <w:widowControl/>
        <w:numPr>
          <w:ilvl w:val="0"/>
          <w:numId w:val="0"/>
        </w:numPr>
        <w:suppressLineNumbers w:val="0"/>
        <w:ind w:firstLine="640" w:firstLineChars="200"/>
        <w:jc w:val="both"/>
        <w:textAlignment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4.“党的建设、意识形态、改革调研工作经费项目”自评综述：根据年初设定的绩效目标，项目自评得分97.3分。全年预算数为10万元，执行数为9.3万元，完成预算的93%。项目绩效目标完成情况：我单位在2023年度完成外出调研及学习培训10次，调研学习培训合格率达100%；全年不定期组织开展法律财务咨询，未发生法律财务纠纷及错误；单位职工参与党建活动6次，参与率较高，以上活动均在2023年12月底完成。一定程度上提高了工作效率，加强了党性修养，坚定信念，提升了廉洁自律能力，单位职工对调研学习调研综合满意度达90%。发现的主要问题及原因：本项目立项实施，均按照规定的程序申请设立，不存在问题，项目2023年度有序推进，通过学习、培训、调研、提升工作能力，提高工作效率，加强党性修养，坚定信念，提升廉洁自律能力。本项目专款专用，统筹安排，按照计划管理，按照实际发生支付，实际支出与项目规定的用途一致，不存在超范围超标准支出，挤占挪用等违法违规问题，资金管理不存在问题。下一步改进措施：建立定期的内部审核机制，以确保项目立项程序的符合性和有效性。继续严格按照财务管理相关制度，对项目资金进行规范管理，严格执行相关审批程序和手续，确保项目实际支出与项目规定的用途一致。</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469"/>
        <w:gridCol w:w="668"/>
        <w:gridCol w:w="942"/>
        <w:gridCol w:w="451"/>
        <w:gridCol w:w="451"/>
        <w:gridCol w:w="1009"/>
        <w:gridCol w:w="1114"/>
        <w:gridCol w:w="847"/>
        <w:gridCol w:w="637"/>
        <w:gridCol w:w="718"/>
        <w:gridCol w:w="2106"/>
      </w:tblGrid>
      <w:tr w14:paraId="4D0D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8E3B0C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1DF1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A80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256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党的建设、意识形态、改革调研工作经费</w:t>
            </w:r>
          </w:p>
        </w:tc>
      </w:tr>
      <w:tr w14:paraId="445E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E69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28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E29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62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66A2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E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1E0F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9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35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2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7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76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61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5B5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C6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BB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E2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A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D6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F5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7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64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14:paraId="4CDF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30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38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7D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8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F2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6019">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D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A6F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655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07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21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50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4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6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90A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7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4A1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4C7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096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CA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FD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99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10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69B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F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E9E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B06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F7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1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26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4A6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8FF7">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12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14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单位在2023年度完成外出调研及学习培训10次，调研学习培训合格率达100%；全年不定期组织开展法律财务咨询，未发生法律财务纠纷及错误；单位职工参与党建活动6次，参与率较高，以上活动均在2023年12月底完成。一定程度上提高了工作效率，加强了党性修养，坚定信念，提升了廉洁自律能力，单位职工对调研学习调研综合满意度达90%。</w:t>
            </w:r>
          </w:p>
        </w:tc>
      </w:tr>
      <w:tr w14:paraId="2CA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80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AB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FA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D6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2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31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6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5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81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C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D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9B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CAC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B6D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CA65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A1E4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EF5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财务服务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BF8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2A46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89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BCE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FA4E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F6E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6E6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41801A">
            <w:pPr>
              <w:jc w:val="center"/>
              <w:rPr>
                <w:rFonts w:hint="eastAsia" w:ascii="宋体" w:hAnsi="宋体" w:eastAsia="宋体" w:cs="宋体"/>
                <w:i w:val="0"/>
                <w:iCs w:val="0"/>
                <w:color w:val="000000"/>
                <w:sz w:val="18"/>
                <w:szCs w:val="18"/>
                <w:u w:val="none"/>
              </w:rPr>
            </w:pPr>
          </w:p>
        </w:tc>
      </w:tr>
      <w:tr w14:paraId="6B62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86AA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60451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7F5C3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014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调研及培训次数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1C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8D2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780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425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116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B67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B8B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BB6FBD">
            <w:pPr>
              <w:jc w:val="center"/>
              <w:rPr>
                <w:rFonts w:hint="eastAsia" w:ascii="宋体" w:hAnsi="宋体" w:eastAsia="宋体" w:cs="宋体"/>
                <w:i w:val="0"/>
                <w:iCs w:val="0"/>
                <w:color w:val="000000"/>
                <w:sz w:val="18"/>
                <w:szCs w:val="18"/>
                <w:u w:val="none"/>
              </w:rPr>
            </w:pPr>
          </w:p>
        </w:tc>
      </w:tr>
      <w:tr w14:paraId="74A8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D16EEB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9E32FF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C041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464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F3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60B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4A3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87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2D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E8C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A4B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A23669">
            <w:pPr>
              <w:jc w:val="center"/>
              <w:rPr>
                <w:rFonts w:hint="eastAsia" w:ascii="宋体" w:hAnsi="宋体" w:eastAsia="宋体" w:cs="宋体"/>
                <w:i w:val="0"/>
                <w:iCs w:val="0"/>
                <w:color w:val="000000"/>
                <w:sz w:val="18"/>
                <w:szCs w:val="18"/>
                <w:u w:val="none"/>
              </w:rPr>
            </w:pPr>
          </w:p>
        </w:tc>
      </w:tr>
      <w:tr w14:paraId="5937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63150B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658A63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902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041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财务纠纷及错误次数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B0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5B6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767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03B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B6C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9B0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AB1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A45432">
            <w:pPr>
              <w:jc w:val="center"/>
              <w:rPr>
                <w:rFonts w:hint="eastAsia" w:ascii="宋体" w:hAnsi="宋体" w:eastAsia="宋体" w:cs="宋体"/>
                <w:i w:val="0"/>
                <w:iCs w:val="0"/>
                <w:color w:val="000000"/>
                <w:sz w:val="18"/>
                <w:szCs w:val="18"/>
                <w:u w:val="none"/>
              </w:rPr>
            </w:pPr>
          </w:p>
        </w:tc>
      </w:tr>
      <w:tr w14:paraId="1154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9DE0E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381BF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C52D3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94D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调研及培训合格率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9AA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92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4C8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304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52A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0D4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2FF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3153DC">
            <w:pPr>
              <w:jc w:val="center"/>
              <w:rPr>
                <w:rFonts w:hint="eastAsia" w:ascii="宋体" w:hAnsi="宋体" w:eastAsia="宋体" w:cs="宋体"/>
                <w:i w:val="0"/>
                <w:iCs w:val="0"/>
                <w:color w:val="000000"/>
                <w:sz w:val="18"/>
                <w:szCs w:val="18"/>
                <w:u w:val="none"/>
              </w:rPr>
            </w:pPr>
          </w:p>
        </w:tc>
      </w:tr>
      <w:tr w14:paraId="3472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F8AEC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AB6B6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5A56D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B70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党建活动参与人数比率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10C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DD9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66D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2B2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B4C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991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E2A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6A9831">
            <w:pPr>
              <w:jc w:val="center"/>
              <w:rPr>
                <w:rFonts w:hint="eastAsia" w:ascii="宋体" w:hAnsi="宋体" w:eastAsia="宋体" w:cs="宋体"/>
                <w:i w:val="0"/>
                <w:iCs w:val="0"/>
                <w:color w:val="000000"/>
                <w:sz w:val="18"/>
                <w:szCs w:val="18"/>
                <w:u w:val="none"/>
              </w:rPr>
            </w:pPr>
          </w:p>
        </w:tc>
      </w:tr>
      <w:tr w14:paraId="6DD9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2E1C06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3DFE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356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95D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各项活动期限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6FD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516D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4A8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A9F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B7F2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D9C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56F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2313DB">
            <w:pPr>
              <w:jc w:val="center"/>
              <w:rPr>
                <w:rFonts w:hint="eastAsia" w:ascii="宋体" w:hAnsi="宋体" w:eastAsia="宋体" w:cs="宋体"/>
                <w:i w:val="0"/>
                <w:iCs w:val="0"/>
                <w:color w:val="000000"/>
                <w:sz w:val="18"/>
                <w:szCs w:val="18"/>
                <w:u w:val="none"/>
              </w:rPr>
            </w:pPr>
          </w:p>
        </w:tc>
      </w:tr>
      <w:tr w14:paraId="2B35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0D321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CEC05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C27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632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047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CC1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A78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F9C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5A4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DFA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10B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FAD2DA">
            <w:pPr>
              <w:jc w:val="center"/>
              <w:rPr>
                <w:rFonts w:hint="eastAsia" w:ascii="宋体" w:hAnsi="宋体" w:eastAsia="宋体" w:cs="宋体"/>
                <w:i w:val="0"/>
                <w:iCs w:val="0"/>
                <w:color w:val="000000"/>
                <w:sz w:val="18"/>
                <w:szCs w:val="18"/>
                <w:u w:val="none"/>
              </w:rPr>
            </w:pPr>
          </w:p>
        </w:tc>
      </w:tr>
      <w:tr w14:paraId="6147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2B9B85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5C4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E5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DF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不断进步提升工作效率坚定信念提升廉洁自律能力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A38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606B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057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0D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960E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E1F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504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8A1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需进一步提升工作效率和廉洁自律能力，因此酌情扣分。</w:t>
            </w:r>
          </w:p>
        </w:tc>
      </w:tr>
      <w:tr w14:paraId="7F01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2F1030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D708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9D4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DD9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B8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5400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7A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881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CBFB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53D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1A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A45674">
            <w:pPr>
              <w:jc w:val="center"/>
              <w:rPr>
                <w:rFonts w:hint="eastAsia" w:ascii="宋体" w:hAnsi="宋体" w:eastAsia="宋体" w:cs="宋体"/>
                <w:i w:val="0"/>
                <w:iCs w:val="0"/>
                <w:color w:val="000000"/>
                <w:sz w:val="18"/>
                <w:szCs w:val="18"/>
                <w:u w:val="none"/>
              </w:rPr>
            </w:pPr>
          </w:p>
        </w:tc>
      </w:tr>
      <w:tr w14:paraId="7029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AD77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166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A5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46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B36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3C5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1B9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4AA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7BC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D47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F79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88CD41">
            <w:pPr>
              <w:jc w:val="center"/>
              <w:rPr>
                <w:rFonts w:hint="eastAsia" w:ascii="宋体" w:hAnsi="宋体" w:eastAsia="宋体" w:cs="宋体"/>
                <w:i w:val="0"/>
                <w:iCs w:val="0"/>
                <w:color w:val="000000"/>
                <w:sz w:val="18"/>
                <w:szCs w:val="18"/>
                <w:u w:val="none"/>
              </w:rPr>
            </w:pPr>
          </w:p>
        </w:tc>
      </w:tr>
      <w:tr w14:paraId="73CD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25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0B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05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35F87">
            <w:pPr>
              <w:jc w:val="center"/>
              <w:rPr>
                <w:rFonts w:hint="eastAsia" w:ascii="宋体" w:hAnsi="宋体" w:eastAsia="宋体" w:cs="宋体"/>
                <w:i w:val="0"/>
                <w:iCs w:val="0"/>
                <w:color w:val="000000"/>
                <w:sz w:val="18"/>
                <w:szCs w:val="18"/>
                <w:u w:val="none"/>
              </w:rPr>
            </w:pPr>
          </w:p>
        </w:tc>
      </w:tr>
    </w:tbl>
    <w:p w14:paraId="7DB718BC">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41870B06">
      <w:pPr>
        <w:numPr>
          <w:ilvl w:val="0"/>
          <w:numId w:val="0"/>
        </w:numPr>
        <w:spacing w:line="240" w:lineRule="auto"/>
        <w:ind w:left="24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5.“科技</w:t>
      </w:r>
      <w:r>
        <w:rPr>
          <w:rFonts w:hint="eastAsia" w:ascii="fang_song_gb2312" w:hAnsi="fang_song_gb2312" w:cs="fang_song_gb2312"/>
          <w:kern w:val="0"/>
          <w:sz w:val="27"/>
          <w:szCs w:val="27"/>
          <w:lang w:eastAsia="zh-CN"/>
        </w:rPr>
        <w:t>培训经费</w:t>
      </w:r>
      <w:r>
        <w:rPr>
          <w:rFonts w:hint="eastAsia" w:ascii="fang_song_gb2312" w:hAnsi="fang_song_gb2312" w:cs="fang_song_gb2312"/>
          <w:kern w:val="0"/>
          <w:sz w:val="27"/>
          <w:szCs w:val="27"/>
          <w:lang w:val="en-US" w:eastAsia="zh-CN"/>
        </w:rPr>
        <w:t>项目</w:t>
      </w:r>
      <w:r>
        <w:rPr>
          <w:rFonts w:hint="eastAsia" w:ascii="fang_song_gb2312" w:hAnsi="fang_song_gb2312" w:cs="fang_song_gb2312"/>
          <w:kern w:val="0"/>
          <w:sz w:val="27"/>
          <w:szCs w:val="27"/>
          <w:lang w:eastAsia="zh-CN"/>
        </w:rPr>
        <w:t>”自评综述：根据年初设定的绩效目标，项目自评得分</w:t>
      </w:r>
      <w:r>
        <w:rPr>
          <w:rFonts w:hint="eastAsia" w:ascii="仿宋_GB2312" w:hAnsi="仿宋_GB2312" w:eastAsia="仿宋_GB2312" w:cs="仿宋_GB2312"/>
          <w:kern w:val="0"/>
          <w:sz w:val="32"/>
          <w:szCs w:val="32"/>
          <w:u w:val="none"/>
          <w:lang w:val="en-US" w:eastAsia="zh-CN" w:bidi="ar-SA"/>
        </w:rPr>
        <w:t>97.94分。全年预算数为40万元，执行数为39.75万元，完成预算的99.38%。项目绩效目标完成情况：2023年度，我单位共完成科技培训7次，培训班次完成率达到100%；累计培训人次达到1100人，培训人次完成率达到100%；累计培训时长达到8天，培训天数完成率达到100%。所有培训于2023年12月前完成，所有培训于2023年12月前完成，通过</w:t>
      </w:r>
      <w:r>
        <w:rPr>
          <w:rFonts w:hint="eastAsia" w:ascii="fang_song_gb2312" w:hAnsi="fang_song_gb2312" w:cs="fang_song_gb2312"/>
          <w:kern w:val="0"/>
          <w:sz w:val="27"/>
          <w:szCs w:val="27"/>
          <w:lang w:eastAsia="zh-CN"/>
        </w:rPr>
        <w:t>上述活动有效激励创新主体增加科技产出与促进自身发展，</w:t>
      </w:r>
      <w:r>
        <w:rPr>
          <w:rFonts w:hint="eastAsia" w:ascii="仿宋_GB2312" w:hAnsi="仿宋_GB2312" w:eastAsia="仿宋_GB2312" w:cs="仿宋_GB2312"/>
          <w:kern w:val="0"/>
          <w:sz w:val="32"/>
          <w:szCs w:val="32"/>
          <w:u w:val="none"/>
          <w:lang w:val="en-US" w:eastAsia="zh-CN" w:bidi="ar-SA"/>
        </w:rPr>
        <w:t xml:space="preserve">增强科技项目管理和实施能力激励创新主体增加科技产出，同时参与科技培训的人员满意度达到80%。发现的主要问题及原因：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下一步改进措施：继续严格按照财务管理相关制度，对项目资金进行规范管理，严格执行相关审批程序和手续，确保项目实际支出与项目规定的用途一致。 继续加强年初预算管理，参考多方因素，完善项目设立。  </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467"/>
        <w:gridCol w:w="664"/>
        <w:gridCol w:w="982"/>
        <w:gridCol w:w="449"/>
        <w:gridCol w:w="449"/>
        <w:gridCol w:w="660"/>
        <w:gridCol w:w="1900"/>
        <w:gridCol w:w="792"/>
        <w:gridCol w:w="595"/>
        <w:gridCol w:w="782"/>
        <w:gridCol w:w="1674"/>
      </w:tblGrid>
      <w:tr w14:paraId="2AAE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A7B3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22BB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129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F0D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科技培训经费</w:t>
            </w:r>
          </w:p>
        </w:tc>
      </w:tr>
      <w:tr w14:paraId="6840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AEB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94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DF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AB1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27DA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56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A4F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10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4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C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31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A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D4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247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D0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77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6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11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1F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96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1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5E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r>
      <w:tr w14:paraId="5847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17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C1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C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E1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89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6457">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1A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0BC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CA3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4C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C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B3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40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2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24F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54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589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0A2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86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5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4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97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7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AE7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EE8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F53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04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4B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FC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E44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A1C8">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DC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D9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共完成科技培训7次，培训班次完成率达到100%；累计培训人次达到1100人，培训人次完成率达到100%；累计培训时长达到8天，培训天数完成率达到100%。所有培训于2023年12月前完成，所有培训于2023年12月前完成，通过上述活动有效激励创新主体增加科技产出与促进自身发展，增强科技项目管理和实施能力激励创新主体增加科技产出，同时参与科技培训的人员满意度达到80%。</w:t>
            </w:r>
          </w:p>
        </w:tc>
      </w:tr>
      <w:tr w14:paraId="0D60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D8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B1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F5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F2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3D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3E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54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BB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35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CB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7B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5D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4B9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00EA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56CF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90CF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E42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5A9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313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4C0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4E0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6D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893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2E9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E401E0">
            <w:pPr>
              <w:jc w:val="center"/>
              <w:rPr>
                <w:rFonts w:hint="eastAsia" w:ascii="宋体" w:hAnsi="宋体" w:eastAsia="宋体" w:cs="宋体"/>
                <w:i w:val="0"/>
                <w:iCs w:val="0"/>
                <w:color w:val="000000"/>
                <w:sz w:val="18"/>
                <w:szCs w:val="18"/>
                <w:u w:val="none"/>
              </w:rPr>
            </w:pPr>
          </w:p>
        </w:tc>
      </w:tr>
      <w:tr w14:paraId="4FF4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ABADCD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D352A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CD49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8A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69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7E8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8E9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60F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F3A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13D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D95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FEDA07">
            <w:pPr>
              <w:jc w:val="center"/>
              <w:rPr>
                <w:rFonts w:hint="eastAsia" w:ascii="宋体" w:hAnsi="宋体" w:eastAsia="宋体" w:cs="宋体"/>
                <w:i w:val="0"/>
                <w:iCs w:val="0"/>
                <w:color w:val="000000"/>
                <w:sz w:val="18"/>
                <w:szCs w:val="18"/>
                <w:u w:val="none"/>
              </w:rPr>
            </w:pPr>
          </w:p>
        </w:tc>
      </w:tr>
      <w:tr w14:paraId="5B8D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6EAAAB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916AA9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5655E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463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ED8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CA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C4B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69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452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B46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1C1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717CB6">
            <w:pPr>
              <w:jc w:val="center"/>
              <w:rPr>
                <w:rFonts w:hint="eastAsia" w:ascii="宋体" w:hAnsi="宋体" w:eastAsia="宋体" w:cs="宋体"/>
                <w:i w:val="0"/>
                <w:iCs w:val="0"/>
                <w:color w:val="000000"/>
                <w:sz w:val="18"/>
                <w:szCs w:val="18"/>
                <w:u w:val="none"/>
              </w:rPr>
            </w:pPr>
          </w:p>
        </w:tc>
      </w:tr>
      <w:tr w14:paraId="67FB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664E1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B4C62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17C8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FF9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D75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32E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8C3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418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7FA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AEB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706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C18F90">
            <w:pPr>
              <w:jc w:val="center"/>
              <w:rPr>
                <w:rFonts w:hint="eastAsia" w:ascii="宋体" w:hAnsi="宋体" w:eastAsia="宋体" w:cs="宋体"/>
                <w:i w:val="0"/>
                <w:iCs w:val="0"/>
                <w:color w:val="000000"/>
                <w:sz w:val="18"/>
                <w:szCs w:val="18"/>
                <w:u w:val="none"/>
              </w:rPr>
            </w:pPr>
          </w:p>
        </w:tc>
      </w:tr>
      <w:tr w14:paraId="2E98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566E3B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D52ADB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D41D8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A3E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培训人次完成率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752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56A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C5B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5AA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0C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B12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009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92A168">
            <w:pPr>
              <w:jc w:val="center"/>
              <w:rPr>
                <w:rFonts w:hint="eastAsia" w:ascii="宋体" w:hAnsi="宋体" w:eastAsia="宋体" w:cs="宋体"/>
                <w:i w:val="0"/>
                <w:iCs w:val="0"/>
                <w:color w:val="000000"/>
                <w:sz w:val="18"/>
                <w:szCs w:val="18"/>
                <w:u w:val="none"/>
              </w:rPr>
            </w:pPr>
          </w:p>
        </w:tc>
      </w:tr>
      <w:tr w14:paraId="2013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361A1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3D002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87E36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3DE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培训天数完成率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48B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BF8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869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81F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DFF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AEC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46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6D164C">
            <w:pPr>
              <w:jc w:val="center"/>
              <w:rPr>
                <w:rFonts w:hint="eastAsia" w:ascii="宋体" w:hAnsi="宋体" w:eastAsia="宋体" w:cs="宋体"/>
                <w:i w:val="0"/>
                <w:iCs w:val="0"/>
                <w:color w:val="000000"/>
                <w:sz w:val="18"/>
                <w:szCs w:val="18"/>
                <w:u w:val="none"/>
              </w:rPr>
            </w:pPr>
          </w:p>
        </w:tc>
      </w:tr>
      <w:tr w14:paraId="735D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DF9FF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0108B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440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08F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培训完成时限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ACA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7D55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C74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F54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B45D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D59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F62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BDF6DF">
            <w:pPr>
              <w:jc w:val="center"/>
              <w:rPr>
                <w:rFonts w:hint="eastAsia" w:ascii="宋体" w:hAnsi="宋体" w:eastAsia="宋体" w:cs="宋体"/>
                <w:i w:val="0"/>
                <w:iCs w:val="0"/>
                <w:color w:val="000000"/>
                <w:sz w:val="18"/>
                <w:szCs w:val="18"/>
                <w:u w:val="none"/>
              </w:rPr>
            </w:pPr>
          </w:p>
        </w:tc>
      </w:tr>
      <w:tr w14:paraId="24EC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8F80BE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E9EA4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C4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84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平均每人次培训成本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1C4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A4C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08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7E7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7D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E06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61B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0EF43A">
            <w:pPr>
              <w:jc w:val="center"/>
              <w:rPr>
                <w:rFonts w:hint="eastAsia" w:ascii="宋体" w:hAnsi="宋体" w:eastAsia="宋体" w:cs="宋体"/>
                <w:i w:val="0"/>
                <w:iCs w:val="0"/>
                <w:color w:val="000000"/>
                <w:sz w:val="18"/>
                <w:szCs w:val="18"/>
                <w:u w:val="none"/>
              </w:rPr>
            </w:pPr>
          </w:p>
        </w:tc>
      </w:tr>
      <w:tr w14:paraId="2AAD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241BE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408B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EF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66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激励创新主体增加科技产出与促进自身发展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304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3B941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E99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663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有效激励创新主体增加科技产出与促进自身发展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9991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96E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DFC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7920E8">
            <w:pPr>
              <w:jc w:val="center"/>
              <w:rPr>
                <w:rFonts w:hint="eastAsia" w:ascii="宋体" w:hAnsi="宋体" w:eastAsia="宋体" w:cs="宋体"/>
                <w:i w:val="0"/>
                <w:iCs w:val="0"/>
                <w:color w:val="000000"/>
                <w:sz w:val="18"/>
                <w:szCs w:val="18"/>
                <w:u w:val="none"/>
              </w:rPr>
            </w:pPr>
          </w:p>
        </w:tc>
      </w:tr>
      <w:tr w14:paraId="22BD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17E1C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BFB4F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017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819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增强科技项目管理和实施能力激励创新主体增加科技产出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3C2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950A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637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E33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有效增强科技项目管理和实施能力激励创新主体增加科技产出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97D6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1DB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E92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E1DA1C">
            <w:pPr>
              <w:jc w:val="center"/>
              <w:rPr>
                <w:rFonts w:hint="eastAsia" w:ascii="宋体" w:hAnsi="宋体" w:eastAsia="宋体" w:cs="宋体"/>
                <w:i w:val="0"/>
                <w:iCs w:val="0"/>
                <w:color w:val="000000"/>
                <w:sz w:val="18"/>
                <w:szCs w:val="18"/>
                <w:u w:val="none"/>
              </w:rPr>
            </w:pPr>
          </w:p>
        </w:tc>
      </w:tr>
      <w:tr w14:paraId="556F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34AA5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F0705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5A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D51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7F1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C8058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3FB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13B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5784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E43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4A3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CEC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4FD6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144BD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700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BCE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645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82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CFA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6AB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E6B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875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ED5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4B2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43C08F">
            <w:pPr>
              <w:jc w:val="center"/>
              <w:rPr>
                <w:rFonts w:hint="eastAsia" w:ascii="宋体" w:hAnsi="宋体" w:eastAsia="宋体" w:cs="宋体"/>
                <w:i w:val="0"/>
                <w:iCs w:val="0"/>
                <w:color w:val="000000"/>
                <w:sz w:val="18"/>
                <w:szCs w:val="18"/>
                <w:u w:val="none"/>
              </w:rPr>
            </w:pPr>
          </w:p>
        </w:tc>
      </w:tr>
      <w:tr w14:paraId="1AEA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E9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7A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E3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1C7BA">
            <w:pPr>
              <w:jc w:val="center"/>
              <w:rPr>
                <w:rFonts w:hint="eastAsia" w:ascii="宋体" w:hAnsi="宋体" w:eastAsia="宋体" w:cs="宋体"/>
                <w:i w:val="0"/>
                <w:iCs w:val="0"/>
                <w:color w:val="000000"/>
                <w:sz w:val="18"/>
                <w:szCs w:val="18"/>
                <w:u w:val="none"/>
              </w:rPr>
            </w:pPr>
          </w:p>
        </w:tc>
      </w:tr>
    </w:tbl>
    <w:p w14:paraId="684264E6">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4A4A74C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（三）单位项目绩效评价结果。</w:t>
      </w:r>
    </w:p>
    <w:p w14:paraId="301A9545">
      <w:pPr>
        <w:widowControl/>
        <w:spacing w:before="240" w:after="240"/>
        <w:ind w:firstLine="540" w:firstLineChars="200"/>
        <w:jc w:val="left"/>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我单位本年度没有进行重点项目绩效评价。</w:t>
      </w:r>
    </w:p>
    <w:p w14:paraId="7848E3AD">
      <w:pPr>
        <w:pStyle w:val="3"/>
        <w:keepNext w:val="0"/>
        <w:keepLines w:val="0"/>
        <w:widowControl/>
        <w:spacing w:before="299" w:after="299" w:line="240" w:lineRule="auto"/>
        <w:jc w:val="center"/>
        <w:rPr>
          <w:rFonts w:hint="eastAsia" w:ascii="黑体" w:hAnsi="黑体" w:eastAsia="黑体" w:cs="黑体"/>
          <w:kern w:val="0"/>
          <w:sz w:val="32"/>
          <w:szCs w:val="32"/>
        </w:rPr>
      </w:pPr>
      <w:r>
        <w:rPr>
          <w:rFonts w:ascii="fang_song_gb2312" w:hAnsi="fang_song_gb2312" w:eastAsia="fang_song_gb2312" w:cs="fang_song_gb2312"/>
          <w:color w:val="0E00FE"/>
          <w:kern w:val="0"/>
          <w:sz w:val="27"/>
          <w:szCs w:val="27"/>
        </w:rPr>
        <w:t> </w:t>
      </w:r>
      <w:r>
        <w:rPr>
          <w:rFonts w:hint="eastAsia" w:ascii="黑体" w:hAnsi="黑体" w:eastAsia="黑体" w:cs="黑体"/>
          <w:b/>
          <w:bCs/>
          <w:kern w:val="0"/>
          <w:sz w:val="32"/>
          <w:szCs w:val="32"/>
          <w:u w:val="none"/>
          <w:lang w:val="en-US" w:eastAsia="zh-Hans" w:bidi="ar"/>
        </w:rPr>
        <w:t xml:space="preserve">  </w:t>
      </w:r>
      <w:bookmarkEnd w:id="0"/>
      <w:r>
        <w:rPr>
          <w:rFonts w:hint="eastAsia" w:ascii="黑体" w:hAnsi="黑体" w:eastAsia="黑体" w:cs="黑体"/>
          <w:kern w:val="0"/>
          <w:sz w:val="32"/>
          <w:szCs w:val="32"/>
        </w:rPr>
        <w:t>第三部分  名词解释</w:t>
      </w:r>
    </w:p>
    <w:p w14:paraId="00E1744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2593A3F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5788007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0D747D5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5C0B9BF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238EE6C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2A76ED1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58FF5DE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1442458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50E2155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45C9B7C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1CCFB04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3127DC3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43735FC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6CD3B05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0729BBF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2A983A2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4F663E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42B871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14:paraId="23602147">
      <w:pPr>
        <w:widowControl/>
        <w:spacing w:before="240" w:after="240"/>
        <w:jc w:val="left"/>
        <w:rPr>
          <w:rFonts w:ascii="Times New Roman" w:hAnsi="Times New Roman" w:eastAsia="Times New Roman" w:cs="Times New Roman"/>
          <w:kern w:val="0"/>
          <w:sz w:val="24"/>
        </w:rPr>
      </w:pPr>
    </w:p>
    <w:p w14:paraId="0DB5CD98">
      <w:pPr>
        <w:pStyle w:val="3"/>
        <w:keepNext w:val="0"/>
        <w:keepLines w:val="0"/>
        <w:widowControl/>
        <w:spacing w:before="299" w:after="299" w:line="240" w:lineRule="auto"/>
        <w:jc w:val="center"/>
        <w:rPr>
          <w:rFonts w:hint="eastAsia" w:ascii="黑体" w:hAnsi="黑体" w:eastAsia="黑体" w:cs="黑体"/>
          <w:b/>
          <w:bCs/>
          <w:kern w:val="0"/>
          <w:sz w:val="32"/>
          <w:szCs w:val="32"/>
        </w:rPr>
      </w:pPr>
      <w:r>
        <w:rPr>
          <w:rFonts w:hint="eastAsia" w:ascii="黑体" w:hAnsi="黑体" w:eastAsia="黑体" w:cs="黑体"/>
          <w:kern w:val="0"/>
          <w:sz w:val="32"/>
          <w:szCs w:val="32"/>
        </w:rPr>
        <w:t>第四部分 决算公开联系方式及信息反馈渠道</w:t>
      </w:r>
    </w:p>
    <w:p w14:paraId="779C79DD">
      <w:pPr>
        <w:widowControl/>
        <w:spacing w:before="240" w:after="240"/>
        <w:jc w:val="left"/>
        <w:rPr>
          <w:rFonts w:ascii="Times New Roman" w:hAnsi="Times New Roman" w:eastAsia="Times New Roman" w:cs="Times New Roman"/>
          <w:kern w:val="0"/>
          <w:sz w:val="24"/>
        </w:rPr>
      </w:pPr>
    </w:p>
    <w:p w14:paraId="64C7D77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21D4637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吕挨梁 </w:t>
      </w:r>
      <w:r>
        <w:rPr>
          <w:rFonts w:ascii="fang_song_gb2312" w:hAnsi="fang_song_gb2312" w:eastAsia="fang_song_gb2312" w:cs="fang_song_gb2312"/>
          <w:kern w:val="0"/>
          <w:sz w:val="27"/>
          <w:szCs w:val="27"/>
        </w:rPr>
        <w:t>          联系电话：</w:t>
      </w:r>
      <w:r>
        <w:rPr>
          <w:rFonts w:hint="eastAsia" w:ascii="仿宋_GB2312" w:hAnsi="仿宋_GB2312" w:eastAsia="仿宋_GB2312" w:cs="仿宋_GB2312"/>
          <w:kern w:val="0"/>
          <w:sz w:val="32"/>
          <w:szCs w:val="32"/>
          <w:u w:val="none"/>
          <w:lang w:eastAsia="zh-CN"/>
        </w:rPr>
        <w:t>0477-8589873</w:t>
      </w:r>
    </w:p>
    <w:p w14:paraId="53BD4A5D">
      <w:pPr>
        <w:widowControl/>
        <w:spacing w:before="240" w:after="240"/>
        <w:jc w:val="left"/>
        <w:rPr>
          <w:rFonts w:ascii="Times New Roman" w:hAnsi="Times New Roman" w:eastAsia="Times New Roman" w:cs="Times New Roman"/>
          <w:kern w:val="0"/>
          <w:sz w:val="24"/>
        </w:rPr>
      </w:pPr>
    </w:p>
    <w:p w14:paraId="05EE4AD8">
      <w:pPr>
        <w:pStyle w:val="3"/>
        <w:keepNext w:val="0"/>
        <w:keepLines w:val="0"/>
        <w:widowControl/>
        <w:spacing w:before="299" w:after="299" w:line="24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第五部分 部门（单位）决算表</w:t>
      </w:r>
    </w:p>
    <w:p w14:paraId="789C119C">
      <w:pPr>
        <w:widowControl/>
        <w:spacing w:before="240" w:after="240"/>
        <w:jc w:val="center"/>
        <w:rPr>
          <w:rFonts w:ascii="Times New Roman" w:hAnsi="Times New Roman" w:eastAsia="Times New Roman" w:cs="Times New Roman"/>
          <w:kern w:val="0"/>
          <w:sz w:val="24"/>
        </w:rPr>
      </w:pPr>
    </w:p>
    <w:p w14:paraId="0339EEF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r>
        <w:rPr>
          <w:rFonts w:hint="eastAsia" w:ascii="仿宋_GB2312" w:hAnsi="仿宋_GB2312" w:eastAsia="仿宋_GB2312" w:cs="仿宋_GB2312"/>
          <w:kern w:val="0"/>
          <w:sz w:val="32"/>
          <w:szCs w:val="32"/>
          <w:u w:val="none"/>
          <w:lang w:eastAsia="zh-CN"/>
        </w:rPr>
        <w:t>1</w:t>
      </w:r>
    </w:p>
    <w:p w14:paraId="3B185FB3">
      <w:pPr>
        <w:widowControl/>
        <w:spacing w:before="240" w:after="240"/>
        <w:jc w:val="left"/>
        <w:rPr>
          <w:rFonts w:ascii="Times New Roman" w:hAnsi="Times New Roman" w:eastAsia="Times New Roman" w:cs="Times New Roman"/>
          <w:kern w:val="0"/>
          <w:sz w:val="24"/>
        </w:rPr>
      </w:pPr>
    </w:p>
    <w:p w14:paraId="3BEAA2C8">
      <w:pPr>
        <w:widowControl/>
        <w:spacing w:before="240" w:after="240"/>
        <w:jc w:val="left"/>
        <w:rPr>
          <w:rFonts w:ascii="仿宋" w:hAnsi="仿宋" w:eastAsia="仿宋" w:cs="仿宋"/>
          <w:sz w:val="32"/>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roma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A27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0F0D">
    <w:pPr>
      <w:pStyle w:val="9"/>
      <w:jc w:val="center"/>
    </w:pPr>
    <w:r>
      <w:fldChar w:fldCharType="begin"/>
    </w:r>
    <w:r>
      <w:instrText xml:space="preserve"> PAGE   \* MERGEFORMAT </w:instrText>
    </w:r>
    <w:r>
      <w:fldChar w:fldCharType="separate"/>
    </w:r>
    <w:r>
      <w:rPr>
        <w:lang w:val="zh-CN"/>
      </w:rPr>
      <w:t>24</w:t>
    </w:r>
    <w:r>
      <w:rPr>
        <w:lang w:val="zh-CN"/>
      </w:rPr>
      <w:fldChar w:fldCharType="end"/>
    </w:r>
  </w:p>
  <w:p w14:paraId="19BE82C4">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MTczYWZiMDNlYjYwMjUwNDQ0YTVjNzBjYWYxZG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6B43425"/>
    <w:rsid w:val="0ACB673E"/>
    <w:rsid w:val="0D030AEB"/>
    <w:rsid w:val="0E260E30"/>
    <w:rsid w:val="143516C6"/>
    <w:rsid w:val="1A845156"/>
    <w:rsid w:val="204E15B2"/>
    <w:rsid w:val="248024EA"/>
    <w:rsid w:val="251F55CF"/>
    <w:rsid w:val="280A543C"/>
    <w:rsid w:val="2B1D3F58"/>
    <w:rsid w:val="2DBB4593"/>
    <w:rsid w:val="30BD72A8"/>
    <w:rsid w:val="3BEE0A66"/>
    <w:rsid w:val="3C013015"/>
    <w:rsid w:val="3E5F2035"/>
    <w:rsid w:val="4158129D"/>
    <w:rsid w:val="45F916A7"/>
    <w:rsid w:val="4C547C35"/>
    <w:rsid w:val="50F934A0"/>
    <w:rsid w:val="546A04E7"/>
    <w:rsid w:val="54B32306"/>
    <w:rsid w:val="55916127"/>
    <w:rsid w:val="571D7BF0"/>
    <w:rsid w:val="59F9677F"/>
    <w:rsid w:val="5BB26A18"/>
    <w:rsid w:val="5CBF10FA"/>
    <w:rsid w:val="5DEE709D"/>
    <w:rsid w:val="62CE0297"/>
    <w:rsid w:val="631B7EE5"/>
    <w:rsid w:val="656E5DB3"/>
    <w:rsid w:val="6A070262"/>
    <w:rsid w:val="6E20573A"/>
    <w:rsid w:val="71ED75E8"/>
    <w:rsid w:val="724E6D50"/>
    <w:rsid w:val="7BB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5"/>
    <w:autoRedefine/>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autoRedefine/>
    <w:qFormat/>
    <w:uiPriority w:val="0"/>
    <w:pPr>
      <w:shd w:val="clear" w:color="auto" w:fill="000080"/>
    </w:pPr>
  </w:style>
  <w:style w:type="paragraph" w:styleId="8">
    <w:name w:val="Body Text"/>
    <w:basedOn w:val="1"/>
    <w:next w:val="9"/>
    <w:autoRedefine/>
    <w:unhideWhenUsed/>
    <w:qFormat/>
    <w:uiPriority w:val="99"/>
    <w:pPr>
      <w:spacing w:line="580" w:lineRule="exact"/>
    </w:pPr>
  </w:style>
  <w:style w:type="paragraph" w:styleId="9">
    <w:name w:val="footer"/>
    <w:basedOn w:val="1"/>
    <w:link w:val="28"/>
    <w:autoRedefine/>
    <w:qFormat/>
    <w:uiPriority w:val="0"/>
    <w:pPr>
      <w:tabs>
        <w:tab w:val="center" w:pos="4153"/>
        <w:tab w:val="right" w:pos="8306"/>
      </w:tabs>
      <w:snapToGrid w:val="0"/>
      <w:jc w:val="left"/>
    </w:pPr>
    <w:rPr>
      <w:sz w:val="18"/>
      <w:szCs w:val="18"/>
    </w:rPr>
  </w:style>
  <w:style w:type="paragraph" w:styleId="10">
    <w:name w:val="toc 5"/>
    <w:basedOn w:val="1"/>
    <w:next w:val="1"/>
    <w:autoRedefine/>
    <w:qFormat/>
    <w:uiPriority w:val="0"/>
    <w:pPr>
      <w:ind w:left="840"/>
      <w:jc w:val="left"/>
    </w:pPr>
    <w:rPr>
      <w:sz w:val="20"/>
      <w:szCs w:val="20"/>
    </w:rPr>
  </w:style>
  <w:style w:type="paragraph" w:styleId="11">
    <w:name w:val="toc 3"/>
    <w:basedOn w:val="1"/>
    <w:next w:val="1"/>
    <w:autoRedefine/>
    <w:qFormat/>
    <w:uiPriority w:val="0"/>
    <w:pPr>
      <w:adjustRightInd w:val="0"/>
      <w:snapToGrid w:val="0"/>
      <w:spacing w:line="360" w:lineRule="auto"/>
      <w:ind w:firstLine="400" w:firstLineChars="400"/>
      <w:jc w:val="left"/>
    </w:pPr>
    <w:rPr>
      <w:sz w:val="24"/>
      <w:szCs w:val="20"/>
    </w:rPr>
  </w:style>
  <w:style w:type="paragraph" w:styleId="12">
    <w:name w:val="toc 8"/>
    <w:basedOn w:val="1"/>
    <w:next w:val="1"/>
    <w:autoRedefine/>
    <w:qFormat/>
    <w:uiPriority w:val="0"/>
    <w:pPr>
      <w:ind w:left="1470"/>
      <w:jc w:val="left"/>
    </w:pPr>
    <w:rPr>
      <w:sz w:val="20"/>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autoRedefine/>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Body Text First Indent 2"/>
    <w:basedOn w:val="1"/>
    <w:autoRedefine/>
    <w:qFormat/>
    <w:uiPriority w:val="99"/>
    <w:pPr>
      <w:spacing w:before="0" w:beforeLines="0" w:beforeAutospacing="0" w:after="0" w:afterLines="0" w:afterAutospacing="0"/>
      <w:ind w:left="0" w:right="0" w:firstLine="420"/>
      <w:jc w:val="left"/>
    </w:pPr>
    <w:rPr>
      <w:rFonts w:hint="eastAsia" w:ascii="宋体" w:hAnsi="宋体" w:eastAsia="宋体" w:cs="宋体"/>
      <w:kern w:val="0"/>
      <w:sz w:val="21"/>
      <w:szCs w:val="21"/>
      <w:lang w:val="en-US" w:eastAsia="zh-CN" w:bidi="ar"/>
    </w:r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customStyle="1" w:styleId="25">
    <w:name w:val="标题 4 字符"/>
    <w:basedOn w:val="22"/>
    <w:link w:val="5"/>
    <w:autoRedefine/>
    <w:qFormat/>
    <w:uiPriority w:val="0"/>
    <w:rPr>
      <w:rFonts w:ascii="Cambria" w:hAnsi="Cambria"/>
      <w:b/>
      <w:bCs/>
      <w:kern w:val="2"/>
      <w:sz w:val="28"/>
      <w:szCs w:val="28"/>
    </w:rPr>
  </w:style>
  <w:style w:type="paragraph" w:styleId="26">
    <w:name w:val="No Spacing"/>
    <w:link w:val="27"/>
    <w:autoRedefine/>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autoRedefine/>
    <w:qFormat/>
    <w:locked/>
    <w:uiPriority w:val="0"/>
    <w:rPr>
      <w:rFonts w:eastAsia="仿宋_GB2312"/>
      <w:sz w:val="30"/>
      <w:szCs w:val="22"/>
      <w:lang w:bidi="ar-SA"/>
    </w:rPr>
  </w:style>
  <w:style w:type="character" w:customStyle="1" w:styleId="28">
    <w:name w:val="页脚 字符"/>
    <w:basedOn w:val="22"/>
    <w:link w:val="9"/>
    <w:autoRedefine/>
    <w:qFormat/>
    <w:uiPriority w:val="0"/>
    <w:rPr>
      <w:kern w:val="2"/>
      <w:sz w:val="18"/>
      <w:szCs w:val="18"/>
    </w:rPr>
  </w:style>
  <w:style w:type="paragraph" w:styleId="29">
    <w:name w:val="List Paragraph"/>
    <w:basedOn w:val="1"/>
    <w:autoRedefine/>
    <w:qFormat/>
    <w:uiPriority w:val="0"/>
    <w:pPr>
      <w:ind w:firstLine="420" w:firstLineChars="200"/>
    </w:pPr>
  </w:style>
  <w:style w:type="character" w:customStyle="1" w:styleId="30">
    <w:name w:val="标题 3 字符"/>
    <w:basedOn w:val="22"/>
    <w:link w:val="4"/>
    <w:autoRedefine/>
    <w:qFormat/>
    <w:uiPriority w:val="0"/>
    <w:rPr>
      <w:b/>
      <w:bCs/>
      <w:kern w:val="2"/>
      <w:sz w:val="32"/>
      <w:szCs w:val="32"/>
    </w:rPr>
  </w:style>
  <w:style w:type="paragraph" w:customStyle="1" w:styleId="31">
    <w:name w:val="Body Text First Indent 21"/>
    <w:basedOn w:val="32"/>
    <w:autoRedefine/>
    <w:qFormat/>
    <w:uiPriority w:val="0"/>
    <w:pPr>
      <w:ind w:firstLine="420" w:firstLineChars="200"/>
    </w:pPr>
  </w:style>
  <w:style w:type="paragraph" w:customStyle="1" w:styleId="32">
    <w:name w:val="Body Text Indent1"/>
    <w:basedOn w:val="1"/>
    <w:autoRedefine/>
    <w:qFormat/>
    <w:uiPriority w:val="0"/>
    <w:pPr>
      <w:ind w:left="420" w:leftChars="200"/>
    </w:pPr>
    <w:rPr>
      <w:rFonts w:ascii="Calibri" w:hAnsi="Calibri" w:cs="Times New Roman"/>
      <w:sz w:val="24"/>
      <w:szCs w:val="24"/>
    </w:rPr>
  </w:style>
  <w:style w:type="paragraph" w:customStyle="1" w:styleId="33">
    <w:name w:val="p0"/>
    <w:basedOn w:val="1"/>
    <w:autoRedefine/>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3\Documents\WeChat%20Files\wxid_3907829075514\FileStorage\File\2024-09\2023&#24180;&#20915;&#31639;&#20844;&#24320;---&#22270;&#27169;&#29256;(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3\Documents\WeChat%20Files\wxid_3907829075514\FileStorage\File\2024-09\2023&#24180;&#20915;&#31639;&#20844;&#24320;---&#22270;&#27169;&#292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图1.收入决算图</a:t>
            </a:r>
          </a:p>
        </c:rich>
      </c:tx>
      <c:layout>
        <c:manualLayout>
          <c:xMode val="edge"/>
          <c:yMode val="edge"/>
          <c:x val="0.385404454865182"/>
          <c:y val="0.0198148148148148"/>
        </c:manualLayout>
      </c:layout>
      <c:overlay val="0"/>
      <c:spPr>
        <a:noFill/>
        <a:ln>
          <a:noFill/>
        </a:ln>
        <a:effectLst/>
      </c:spPr>
    </c:title>
    <c:autoTitleDeleted val="0"/>
    <c:plotArea>
      <c:layout>
        <c:manualLayout>
          <c:layoutTarget val="inner"/>
          <c:xMode val="edge"/>
          <c:yMode val="edge"/>
          <c:x val="0.145181711606096"/>
          <c:y val="0.137574074074074"/>
          <c:w val="0.455474794841735"/>
          <c:h val="0.719481481481481"/>
        </c:manualLayout>
      </c:layout>
      <c:pieChart>
        <c:varyColors val="1"/>
        <c:ser>
          <c:idx val="0"/>
          <c:order val="0"/>
          <c:spPr/>
          <c:explosion val="0"/>
          <c:dPt>
            <c:idx val="0"/>
            <c:bubble3D val="0"/>
            <c:spPr>
              <a:solidFill>
                <a:schemeClr val="accent1"/>
              </a:solidFill>
              <a:ln w="19050">
                <a:solidFill>
                  <a:schemeClr val="lt1"/>
                </a:solidFill>
              </a:ln>
              <a:effectLst>
                <a:outerShdw blurRad="63500" sx="102000" sy="102000" algn="ctr" rotWithShape="0">
                  <a:schemeClr val="accent1">
                    <a:alpha val="40000"/>
                  </a:schemeClr>
                </a:outerShdw>
              </a:effectLst>
            </c:spPr>
          </c:dPt>
          <c:dPt>
            <c:idx val="1"/>
            <c:bubble3D val="0"/>
            <c:explosion val="8"/>
            <c:spPr>
              <a:pattFill prst="dkHorz">
                <a:fgClr>
                  <a:schemeClr val="accent2"/>
                </a:fgClr>
                <a:bgClr>
                  <a:schemeClr val="accent2">
                    <a:lumMod val="20000"/>
                    <a:lumOff val="80000"/>
                  </a:schemeClr>
                </a:bgClr>
              </a:pattFill>
              <a:ln w="19050">
                <a:solidFill>
                  <a:schemeClr val="lt1"/>
                </a:solidFill>
              </a:ln>
              <a:effectLst>
                <a:outerShdw blurRad="63500" sx="102000" sy="102000" algn="ctr" rotWithShape="0">
                  <a:schemeClr val="accent2">
                    <a:alpha val="40000"/>
                  </a:schemeClr>
                </a:outerShdw>
              </a:effectLst>
            </c:spPr>
          </c:dPt>
          <c:dPt>
            <c:idx val="2"/>
            <c:bubble3D val="0"/>
            <c:spPr>
              <a:solidFill>
                <a:schemeClr val="accent3"/>
              </a:solidFill>
              <a:ln w="19050">
                <a:solidFill>
                  <a:schemeClr val="lt1"/>
                </a:solidFill>
              </a:ln>
              <a:effectLst>
                <a:outerShdw blurRad="63500" sx="102000" sy="102000" algn="ctr" rotWithShape="0">
                  <a:schemeClr val="accent3">
                    <a:alpha val="40000"/>
                  </a:schemeClr>
                </a:outerShdw>
              </a:effectLst>
            </c:spPr>
          </c:dPt>
          <c:dPt>
            <c:idx val="3"/>
            <c:bubble3D val="0"/>
            <c:spPr>
              <a:solidFill>
                <a:schemeClr val="accent4"/>
              </a:solidFill>
              <a:ln w="19050">
                <a:solidFill>
                  <a:schemeClr val="lt1"/>
                </a:solidFill>
              </a:ln>
              <a:effectLst>
                <a:outerShdw blurRad="63500" sx="102000" sy="102000" algn="ctr" rotWithShape="0">
                  <a:schemeClr val="accent4">
                    <a:alpha val="40000"/>
                  </a:schemeClr>
                </a:outerShdw>
              </a:effectLst>
            </c:spPr>
          </c:dPt>
          <c:dPt>
            <c:idx val="4"/>
            <c:bubble3D val="0"/>
            <c:spPr>
              <a:solidFill>
                <a:schemeClr val="accent5"/>
              </a:solidFill>
              <a:ln w="19050">
                <a:solidFill>
                  <a:schemeClr val="lt1"/>
                </a:solidFill>
              </a:ln>
              <a:effectLst>
                <a:outerShdw blurRad="63500" sx="102000" sy="102000" algn="ctr" rotWithShape="0">
                  <a:schemeClr val="accent5">
                    <a:alpha val="40000"/>
                  </a:schemeClr>
                </a:outerShdw>
              </a:effectLst>
            </c:spPr>
          </c:dPt>
          <c:dPt>
            <c:idx val="5"/>
            <c:bubble3D val="0"/>
            <c:spPr>
              <a:solidFill>
                <a:schemeClr val="accent6"/>
              </a:solidFill>
              <a:ln w="19050">
                <a:solidFill>
                  <a:schemeClr val="lt1"/>
                </a:solidFill>
              </a:ln>
              <a:effectLst>
                <a:outerShdw blurRad="63500" sx="102000" sy="102000" algn="ctr" rotWithShape="0">
                  <a:schemeClr val="accent6">
                    <a:alpha val="40000"/>
                  </a:schemeClr>
                </a:outerShdw>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0527549824150058"/>
                  <c:y val="8.42124723863822e-17"/>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871043376318875"/>
                  <c:y val="0.0207407407407407"/>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05694244883135"/>
                  <c:y val="0.755185185185185"/>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3"/>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12379329416215"/>
                  <c:y val="0.65111400462963"/>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4"/>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4"/>
              <c:layout>
                <c:manualLayout>
                  <c:x val="-0.121011299310399"/>
                  <c:y val="0.430085358796296"/>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5"/>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50852710068265"/>
                  <c:y val="0.0650679976851852"/>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6"/>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6"/>
              <c:layout>
                <c:manualLayout>
                  <c:x val="-0.125348931197855"/>
                  <c:y val="0.057886284722222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7"/>
              <c:layout>
                <c:manualLayout>
                  <c:x val="-0.125348931197855"/>
                  <c:y val="0.259719744192841"/>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'[2023年决算公开---图模版(1).xlsx]图1.收入决算图 (2)'!$A$2:$A$9</c:f>
              <c:strCache>
                <c:ptCount val="8"/>
                <c:pt idx="0">
                  <c:v>    本年一般公共预算财政拨款收入 </c:v>
                </c:pt>
                <c:pt idx="1">
                  <c:v>    本年政府性基金预算财政拨款收入</c:v>
                </c:pt>
                <c:pt idx="2">
                  <c:v>    本年国有资本经营预算财政拨款收入</c:v>
                </c:pt>
                <c:pt idx="3">
                  <c:v>    本年上级补助收入</c:v>
                </c:pt>
                <c:pt idx="4">
                  <c:v>    本年事业收入</c:v>
                </c:pt>
                <c:pt idx="5">
                  <c:v>    本年经营收入</c:v>
                </c:pt>
                <c:pt idx="6">
                  <c:v>    本年附属单位上缴收入</c:v>
                </c:pt>
                <c:pt idx="7">
                  <c:v>    本年其他收入 </c:v>
                </c:pt>
              </c:strCache>
            </c:strRef>
          </c:cat>
          <c:val>
            <c:numRef>
              <c:f>'[2023年决算公开---图模版(1).xlsx]图1.收入决算图 (2)'!$B$2:$B$9</c:f>
              <c:numCache>
                <c:formatCode>General</c:formatCode>
                <c:ptCount val="8"/>
                <c:pt idx="0">
                  <c:v>867</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332"/>
      </c:pieChart>
      <c:spPr>
        <a:noFill/>
        <a:ln>
          <a:noFill/>
        </a:ln>
        <a:effectLst/>
      </c:spPr>
    </c:plotArea>
    <c:legend>
      <c:legendPos val="r"/>
      <c:layout>
        <c:manualLayout>
          <c:xMode val="edge"/>
          <c:yMode val="edge"/>
          <c:x val="0.668464243845252"/>
          <c:y val="0.17064814814814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9d8b9ec-1840-4676-921b-d0774c4fef55}"/>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支出决算图</a:t>
            </a:r>
            <a:endParaRPr lang="zh-CN" altLang="en-US"/>
          </a:p>
        </c:rich>
      </c:tx>
      <c:layout>
        <c:manualLayout>
          <c:xMode val="edge"/>
          <c:yMode val="edge"/>
          <c:x val="0.379350115863895"/>
          <c:y val="0.01253431307623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152702702702703"/>
                  <c:y val="0.2381165919282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2027027027027"/>
                  <c:y val="-0.10381165919282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75675675675676"/>
                  <c:y val="0.061659192825112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31891891891891"/>
                  <c:y val="0.014336252750518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34472972972973"/>
                  <c:y val="0.041871320816457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'[2023年决算公开---图模版(1).xlsx]图2.支出决算图'!$A$1:$A$5</c:f>
              <c:strCache>
                <c:ptCount val="5"/>
                <c:pt idx="0">
                  <c:v>本年基本支出 </c:v>
                </c:pt>
                <c:pt idx="1">
                  <c:v>本年项目支出 </c:v>
                </c:pt>
                <c:pt idx="2">
                  <c:v>本年上缴上级支出 </c:v>
                </c:pt>
                <c:pt idx="3">
                  <c:v>本年经营支出</c:v>
                </c:pt>
                <c:pt idx="4">
                  <c:v>本年对附属单位补助支出 </c:v>
                </c:pt>
              </c:strCache>
            </c:strRef>
          </c:cat>
          <c:val>
            <c:numRef>
              <c:f>'[2023年决算公开---图模版(1).xlsx]图2.支出决算图'!$B$1:$B$5</c:f>
              <c:numCache>
                <c:formatCode>General</c:formatCode>
                <c:ptCount val="5"/>
                <c:pt idx="0">
                  <c:v>409.27</c:v>
                </c:pt>
                <c:pt idx="1">
                  <c:v>457.73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e96107-9007-47a0-8c00-40b19095e43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9189</Words>
  <Characters>10232</Characters>
  <Lines>1</Lines>
  <Paragraphs>1</Paragraphs>
  <TotalTime>23</TotalTime>
  <ScaleCrop>false</ScaleCrop>
  <LinksUpToDate>false</LinksUpToDate>
  <CharactersWithSpaces>10610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WPS_1620267379</cp:lastModifiedBy>
  <cp:lastPrinted>2021-04-16T00:45:00Z</cp:lastPrinted>
  <dcterms:modified xsi:type="dcterms:W3CDTF">2025-06-10T03:07:54Z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C9BBEEF1672B4DD4A41823CCE4A6357F_13</vt:lpwstr>
  </property>
  <property fmtid="{D5CDD505-2E9C-101B-9397-08002B2CF9AE}" pid="4" name="KSOTemplateDocerSaveRecord">
    <vt:lpwstr>eyJoZGlkIjoiZDY0MTczYWZiMDNlYjYwMjUwNDQ0YTVjNzBjYWYxZGUiLCJ1c2VySWQiOiIxMjA4MzE1MjAyIn0=</vt:lpwstr>
  </property>
</Properties>
</file>