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B175B">
      <w:pPr>
        <w:spacing w:line="720" w:lineRule="exact"/>
        <w:jc w:val="center"/>
        <w:rPr>
          <w:rFonts w:ascii="方正小标宋简体" w:hAnsi="华文中宋" w:eastAsia="方正小标宋简体"/>
          <w:sz w:val="44"/>
          <w:szCs w:val="44"/>
        </w:rPr>
      </w:pPr>
      <w:bookmarkStart w:id="0" w:name="_GoBack"/>
      <w:r>
        <w:rPr>
          <w:rFonts w:hint="eastAsia" w:ascii="方正小标宋简体" w:hAnsi="华文中宋" w:eastAsia="方正小标宋简体"/>
          <w:sz w:val="44"/>
          <w:szCs w:val="44"/>
        </w:rPr>
        <w:t>内蒙古自治区技术转移机构管理办法</w:t>
      </w:r>
    </w:p>
    <w:p w14:paraId="256CE304">
      <w:pPr>
        <w:spacing w:line="72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（试行）</w:t>
      </w:r>
      <w:bookmarkEnd w:id="0"/>
    </w:p>
    <w:p w14:paraId="523E72FC">
      <w:pPr>
        <w:spacing w:line="720" w:lineRule="exact"/>
        <w:jc w:val="center"/>
        <w:rPr>
          <w:rFonts w:ascii="宋体" w:hAnsi="宋体" w:eastAsia="宋体"/>
          <w:b/>
          <w:sz w:val="32"/>
          <w:szCs w:val="32"/>
        </w:rPr>
      </w:pPr>
    </w:p>
    <w:p w14:paraId="024BE30B">
      <w:pPr>
        <w:spacing w:line="640" w:lineRule="exact"/>
        <w:jc w:val="center"/>
        <w:rPr>
          <w:rFonts w:ascii="黑体" w:hAnsi="黑体" w:eastAsia="黑体"/>
          <w:sz w:val="32"/>
          <w:szCs w:val="32"/>
        </w:rPr>
      </w:pPr>
      <w:r>
        <w:rPr>
          <w:rFonts w:hint="eastAsia" w:ascii="黑体" w:hAnsi="黑体" w:eastAsia="黑体"/>
          <w:sz w:val="32"/>
          <w:szCs w:val="32"/>
        </w:rPr>
        <w:t>第</w:t>
      </w:r>
      <w:r>
        <w:rPr>
          <w:rFonts w:ascii="黑体" w:hAnsi="黑体" w:eastAsia="黑体"/>
          <w:sz w:val="32"/>
          <w:szCs w:val="32"/>
        </w:rPr>
        <w:t>一章</w:t>
      </w:r>
      <w:r>
        <w:rPr>
          <w:rFonts w:hint="eastAsia" w:ascii="黑体" w:hAnsi="黑体" w:eastAsia="黑体"/>
          <w:sz w:val="32"/>
          <w:szCs w:val="32"/>
        </w:rPr>
        <w:t xml:space="preserve">  总则</w:t>
      </w:r>
    </w:p>
    <w:p w14:paraId="0707D9A3">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w:t>
      </w:r>
      <w:r>
        <w:rPr>
          <w:rFonts w:ascii="仿宋_GB2312" w:hAnsi="仿宋" w:eastAsia="仿宋_GB2312"/>
          <w:b/>
          <w:sz w:val="32"/>
          <w:szCs w:val="32"/>
        </w:rPr>
        <w:t>一条</w:t>
      </w:r>
      <w:r>
        <w:rPr>
          <w:rFonts w:hint="eastAsia" w:ascii="仿宋_GB2312" w:hAnsi="仿宋" w:eastAsia="仿宋_GB2312"/>
          <w:sz w:val="32"/>
          <w:szCs w:val="32"/>
        </w:rPr>
        <w:t xml:space="preserve"> </w:t>
      </w:r>
      <w:r>
        <w:rPr>
          <w:rFonts w:ascii="仿宋_GB2312" w:hAnsi="仿宋" w:eastAsia="仿宋_GB2312"/>
          <w:sz w:val="32"/>
          <w:szCs w:val="32"/>
        </w:rPr>
        <w:t>为促进科技成果转移转化，</w:t>
      </w:r>
      <w:r>
        <w:rPr>
          <w:rFonts w:hint="eastAsia" w:ascii="仿宋_GB2312" w:hAnsi="仿宋" w:eastAsia="仿宋_GB2312"/>
          <w:sz w:val="32"/>
          <w:szCs w:val="32"/>
        </w:rPr>
        <w:t>鼓励</w:t>
      </w:r>
      <w:r>
        <w:rPr>
          <w:rFonts w:ascii="仿宋_GB2312" w:hAnsi="仿宋" w:eastAsia="仿宋_GB2312"/>
          <w:sz w:val="32"/>
          <w:szCs w:val="32"/>
        </w:rPr>
        <w:t>引导市场化、专业化技术转移机构发展，根据《国家技术转移示范机构管理办法》、《内蒙古自治区促进</w:t>
      </w:r>
      <w:r>
        <w:rPr>
          <w:rFonts w:hint="eastAsia" w:ascii="仿宋_GB2312" w:hAnsi="仿宋" w:eastAsia="仿宋_GB2312"/>
          <w:sz w:val="32"/>
          <w:szCs w:val="32"/>
        </w:rPr>
        <w:t>科</w:t>
      </w:r>
      <w:r>
        <w:rPr>
          <w:rFonts w:ascii="仿宋_GB2312" w:hAnsi="仿宋" w:eastAsia="仿宋_GB2312"/>
          <w:sz w:val="32"/>
          <w:szCs w:val="32"/>
        </w:rPr>
        <w:t>技成果转化条例》</w:t>
      </w:r>
      <w:r>
        <w:rPr>
          <w:rFonts w:hint="eastAsia" w:ascii="仿宋_GB2312" w:hAnsi="仿宋" w:eastAsia="仿宋_GB2312"/>
          <w:sz w:val="32"/>
          <w:szCs w:val="32"/>
        </w:rPr>
        <w:t>等法律法规，</w:t>
      </w:r>
      <w:r>
        <w:rPr>
          <w:rFonts w:ascii="仿宋_GB2312" w:hAnsi="仿宋" w:eastAsia="仿宋_GB2312"/>
          <w:sz w:val="32"/>
          <w:szCs w:val="32"/>
        </w:rPr>
        <w:t>结合我区实际，修订本办法。</w:t>
      </w:r>
    </w:p>
    <w:p w14:paraId="59D5A754">
      <w:pPr>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技术</w:t>
      </w:r>
      <w:r>
        <w:rPr>
          <w:rFonts w:ascii="仿宋_GB2312" w:hAnsi="仿宋" w:eastAsia="仿宋_GB2312"/>
          <w:sz w:val="32"/>
          <w:szCs w:val="32"/>
        </w:rPr>
        <w:t>转移机构可以是独立法人</w:t>
      </w:r>
      <w:r>
        <w:rPr>
          <w:rFonts w:hint="eastAsia" w:ascii="仿宋_GB2312" w:hAnsi="仿宋" w:eastAsia="仿宋_GB2312"/>
          <w:sz w:val="32"/>
          <w:szCs w:val="32"/>
        </w:rPr>
        <w:t>机构</w:t>
      </w:r>
      <w:r>
        <w:rPr>
          <w:rFonts w:ascii="仿宋_GB2312" w:hAnsi="仿宋" w:eastAsia="仿宋_GB2312"/>
          <w:sz w:val="32"/>
          <w:szCs w:val="32"/>
        </w:rPr>
        <w:t>或法人</w:t>
      </w:r>
      <w:r>
        <w:rPr>
          <w:rFonts w:hint="eastAsia" w:ascii="仿宋_GB2312" w:hAnsi="仿宋" w:eastAsia="仿宋_GB2312"/>
          <w:sz w:val="32"/>
          <w:szCs w:val="32"/>
        </w:rPr>
        <w:t>机构</w:t>
      </w:r>
      <w:r>
        <w:rPr>
          <w:rFonts w:ascii="仿宋_GB2312" w:hAnsi="仿宋" w:eastAsia="仿宋_GB2312"/>
          <w:sz w:val="32"/>
          <w:szCs w:val="32"/>
        </w:rPr>
        <w:t>的内设机构</w:t>
      </w:r>
      <w:r>
        <w:rPr>
          <w:rFonts w:hint="eastAsia" w:ascii="仿宋_GB2312" w:hAnsi="仿宋" w:eastAsia="仿宋_GB2312"/>
          <w:sz w:val="32"/>
          <w:szCs w:val="32"/>
        </w:rPr>
        <w:t>。</w:t>
      </w:r>
    </w:p>
    <w:p w14:paraId="5F8FC78F">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w:t>
      </w:r>
      <w:r>
        <w:rPr>
          <w:rFonts w:ascii="仿宋_GB2312" w:hAnsi="仿宋" w:eastAsia="仿宋_GB2312"/>
          <w:b/>
          <w:sz w:val="32"/>
          <w:szCs w:val="32"/>
        </w:rPr>
        <w:t>条</w:t>
      </w:r>
      <w:r>
        <w:rPr>
          <w:rFonts w:hint="eastAsia" w:ascii="仿宋_GB2312" w:hAnsi="仿宋" w:eastAsia="仿宋_GB2312"/>
          <w:sz w:val="32"/>
          <w:szCs w:val="32"/>
        </w:rPr>
        <w:t xml:space="preserve"> 内蒙</w:t>
      </w:r>
      <w:r>
        <w:rPr>
          <w:rFonts w:ascii="仿宋_GB2312" w:hAnsi="仿宋" w:eastAsia="仿宋_GB2312"/>
          <w:sz w:val="32"/>
          <w:szCs w:val="32"/>
        </w:rPr>
        <w:t>古自治区</w:t>
      </w:r>
      <w:r>
        <w:rPr>
          <w:rFonts w:hint="eastAsia" w:ascii="仿宋_GB2312" w:hAnsi="仿宋" w:eastAsia="仿宋_GB2312"/>
          <w:sz w:val="32"/>
          <w:szCs w:val="32"/>
        </w:rPr>
        <w:t>技术转移</w:t>
      </w:r>
      <w:r>
        <w:rPr>
          <w:rFonts w:ascii="仿宋_GB2312" w:hAnsi="仿宋" w:eastAsia="仿宋_GB2312"/>
          <w:sz w:val="32"/>
          <w:szCs w:val="32"/>
        </w:rPr>
        <w:t>机构</w:t>
      </w:r>
      <w:r>
        <w:rPr>
          <w:rFonts w:hint="eastAsia" w:ascii="仿宋_GB2312" w:hAnsi="仿宋" w:eastAsia="仿宋_GB2312"/>
          <w:sz w:val="32"/>
          <w:szCs w:val="32"/>
        </w:rPr>
        <w:t>（以</w:t>
      </w:r>
      <w:r>
        <w:rPr>
          <w:rFonts w:ascii="仿宋_GB2312" w:hAnsi="仿宋" w:eastAsia="仿宋_GB2312"/>
          <w:sz w:val="32"/>
          <w:szCs w:val="32"/>
        </w:rPr>
        <w:t>下简称</w:t>
      </w:r>
      <w:r>
        <w:rPr>
          <w:rFonts w:hint="eastAsia" w:ascii="仿宋_GB2312" w:hAnsi="仿宋" w:eastAsia="仿宋_GB2312"/>
          <w:sz w:val="32"/>
          <w:szCs w:val="32"/>
        </w:rPr>
        <w:t>自治区</w:t>
      </w:r>
      <w:r>
        <w:rPr>
          <w:rFonts w:ascii="仿宋_GB2312" w:hAnsi="仿宋" w:eastAsia="仿宋_GB2312"/>
          <w:sz w:val="32"/>
          <w:szCs w:val="32"/>
        </w:rPr>
        <w:t>级技术转移机构）</w:t>
      </w:r>
      <w:r>
        <w:rPr>
          <w:rFonts w:hint="eastAsia" w:ascii="仿宋_GB2312" w:hAnsi="仿宋" w:eastAsia="仿宋_GB2312"/>
          <w:sz w:val="32"/>
          <w:szCs w:val="32"/>
        </w:rPr>
        <w:t>是</w:t>
      </w:r>
      <w:r>
        <w:rPr>
          <w:rFonts w:ascii="仿宋_GB2312" w:hAnsi="仿宋" w:eastAsia="仿宋_GB2312"/>
          <w:sz w:val="32"/>
          <w:szCs w:val="32"/>
        </w:rPr>
        <w:t>指经自治区科技厅</w:t>
      </w:r>
      <w:r>
        <w:rPr>
          <w:rFonts w:hint="eastAsia" w:ascii="仿宋_GB2312" w:hAnsi="仿宋" w:eastAsia="仿宋_GB2312"/>
          <w:sz w:val="32"/>
          <w:szCs w:val="32"/>
        </w:rPr>
        <w:t>备案的</w:t>
      </w:r>
      <w:r>
        <w:rPr>
          <w:rFonts w:ascii="仿宋_GB2312" w:hAnsi="仿宋" w:eastAsia="仿宋_GB2312"/>
          <w:sz w:val="32"/>
          <w:szCs w:val="32"/>
        </w:rPr>
        <w:t>技术转移机构。</w:t>
      </w:r>
    </w:p>
    <w:p w14:paraId="67F58522">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w:t>
      </w:r>
      <w:r>
        <w:rPr>
          <w:rFonts w:ascii="仿宋_GB2312" w:hAnsi="仿宋" w:eastAsia="仿宋_GB2312"/>
          <w:b/>
          <w:sz w:val="32"/>
          <w:szCs w:val="32"/>
        </w:rPr>
        <w:t>条</w:t>
      </w:r>
      <w:r>
        <w:rPr>
          <w:rFonts w:hint="eastAsia" w:ascii="仿宋_GB2312" w:hAnsi="仿宋" w:eastAsia="仿宋_GB2312"/>
          <w:sz w:val="32"/>
          <w:szCs w:val="32"/>
        </w:rPr>
        <w:t xml:space="preserve"> 自治区</w:t>
      </w:r>
      <w:r>
        <w:rPr>
          <w:rFonts w:ascii="仿宋_GB2312" w:hAnsi="仿宋" w:eastAsia="仿宋_GB2312"/>
          <w:sz w:val="32"/>
          <w:szCs w:val="32"/>
        </w:rPr>
        <w:t>级技术转移机构的</w:t>
      </w:r>
      <w:r>
        <w:rPr>
          <w:rFonts w:hint="eastAsia" w:ascii="仿宋_GB2312" w:hAnsi="仿宋" w:eastAsia="仿宋_GB2312"/>
          <w:sz w:val="32"/>
          <w:szCs w:val="32"/>
        </w:rPr>
        <w:t>备案</w:t>
      </w:r>
      <w:r>
        <w:rPr>
          <w:rFonts w:ascii="仿宋_GB2312" w:hAnsi="仿宋" w:eastAsia="仿宋_GB2312"/>
          <w:sz w:val="32"/>
          <w:szCs w:val="32"/>
        </w:rPr>
        <w:t>、管理遵循</w:t>
      </w:r>
      <w:r>
        <w:rPr>
          <w:rFonts w:hint="eastAsia" w:ascii="仿宋_GB2312" w:hAnsi="仿宋" w:eastAsia="仿宋_GB2312"/>
          <w:sz w:val="32"/>
          <w:szCs w:val="32"/>
        </w:rPr>
        <w:t>“公平</w:t>
      </w:r>
      <w:r>
        <w:rPr>
          <w:rFonts w:ascii="仿宋_GB2312" w:hAnsi="仿宋" w:eastAsia="仿宋_GB2312"/>
          <w:sz w:val="32"/>
          <w:szCs w:val="32"/>
        </w:rPr>
        <w:t>公正、市场导向、分类施策、动态管理”</w:t>
      </w:r>
      <w:r>
        <w:rPr>
          <w:rFonts w:hint="eastAsia" w:ascii="仿宋_GB2312" w:hAnsi="仿宋" w:eastAsia="仿宋_GB2312"/>
          <w:sz w:val="32"/>
          <w:szCs w:val="32"/>
        </w:rPr>
        <w:t>原则</w:t>
      </w:r>
      <w:r>
        <w:rPr>
          <w:rFonts w:ascii="仿宋_GB2312" w:hAnsi="仿宋" w:eastAsia="仿宋_GB2312"/>
          <w:sz w:val="32"/>
          <w:szCs w:val="32"/>
        </w:rPr>
        <w:t>。</w:t>
      </w:r>
    </w:p>
    <w:p w14:paraId="6BC23380">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第四</w:t>
      </w:r>
      <w:r>
        <w:rPr>
          <w:rFonts w:ascii="仿宋_GB2312" w:hAnsi="仿宋" w:eastAsia="仿宋_GB2312"/>
          <w:b/>
          <w:sz w:val="32"/>
          <w:szCs w:val="32"/>
        </w:rPr>
        <w:t>条</w:t>
      </w:r>
      <w:r>
        <w:rPr>
          <w:rFonts w:hint="eastAsia" w:ascii="仿宋_GB2312" w:hAnsi="仿宋" w:eastAsia="仿宋_GB2312"/>
          <w:sz w:val="32"/>
          <w:szCs w:val="32"/>
        </w:rPr>
        <w:t xml:space="preserve"> </w:t>
      </w:r>
      <w:r>
        <w:rPr>
          <w:rFonts w:ascii="仿宋_GB2312" w:hAnsi="仿宋" w:eastAsia="仿宋_GB2312"/>
          <w:sz w:val="32"/>
          <w:szCs w:val="32"/>
        </w:rPr>
        <w:t>自治区科技厅</w:t>
      </w:r>
      <w:r>
        <w:rPr>
          <w:rFonts w:hint="eastAsia" w:ascii="仿宋_GB2312" w:hAnsi="仿宋" w:eastAsia="仿宋_GB2312"/>
          <w:sz w:val="32"/>
          <w:szCs w:val="32"/>
        </w:rPr>
        <w:t>是</w:t>
      </w:r>
      <w:r>
        <w:rPr>
          <w:rFonts w:ascii="仿宋_GB2312" w:hAnsi="仿宋" w:eastAsia="仿宋_GB2312"/>
          <w:sz w:val="32"/>
          <w:szCs w:val="32"/>
        </w:rPr>
        <w:t>自治区</w:t>
      </w:r>
      <w:r>
        <w:rPr>
          <w:rFonts w:hint="eastAsia" w:ascii="仿宋_GB2312" w:hAnsi="仿宋" w:eastAsia="仿宋_GB2312"/>
          <w:sz w:val="32"/>
          <w:szCs w:val="32"/>
        </w:rPr>
        <w:t>级技术转移</w:t>
      </w:r>
      <w:r>
        <w:rPr>
          <w:rFonts w:ascii="仿宋_GB2312" w:hAnsi="仿宋" w:eastAsia="仿宋_GB2312"/>
          <w:sz w:val="32"/>
          <w:szCs w:val="32"/>
        </w:rPr>
        <w:t>机构</w:t>
      </w:r>
      <w:r>
        <w:rPr>
          <w:rFonts w:hint="eastAsia" w:ascii="仿宋_GB2312" w:hAnsi="仿宋" w:eastAsia="仿宋_GB2312"/>
          <w:sz w:val="32"/>
          <w:szCs w:val="32"/>
        </w:rPr>
        <w:t>的</w:t>
      </w:r>
      <w:r>
        <w:rPr>
          <w:rFonts w:ascii="仿宋_GB2312" w:hAnsi="仿宋" w:eastAsia="仿宋_GB2312"/>
          <w:sz w:val="32"/>
          <w:szCs w:val="32"/>
        </w:rPr>
        <w:t>宏观管理</w:t>
      </w:r>
      <w:r>
        <w:rPr>
          <w:rFonts w:hint="eastAsia" w:ascii="仿宋_GB2312" w:hAnsi="仿宋" w:eastAsia="仿宋_GB2312"/>
          <w:sz w:val="32"/>
          <w:szCs w:val="32"/>
        </w:rPr>
        <w:t>部门</w:t>
      </w:r>
      <w:r>
        <w:rPr>
          <w:rFonts w:ascii="仿宋_GB2312" w:hAnsi="仿宋" w:eastAsia="仿宋_GB2312"/>
          <w:sz w:val="32"/>
          <w:szCs w:val="32"/>
        </w:rPr>
        <w:t>，负责自治区</w:t>
      </w:r>
      <w:r>
        <w:rPr>
          <w:rFonts w:hint="eastAsia" w:ascii="仿宋_GB2312" w:hAnsi="仿宋" w:eastAsia="仿宋_GB2312"/>
          <w:sz w:val="32"/>
          <w:szCs w:val="32"/>
        </w:rPr>
        <w:t>级技术</w:t>
      </w:r>
      <w:r>
        <w:rPr>
          <w:rFonts w:ascii="仿宋_GB2312" w:hAnsi="仿宋" w:eastAsia="仿宋_GB2312"/>
          <w:sz w:val="32"/>
          <w:szCs w:val="32"/>
        </w:rPr>
        <w:t>转移机构的备案、指导</w:t>
      </w:r>
      <w:r>
        <w:rPr>
          <w:rFonts w:hint="eastAsia" w:ascii="仿宋_GB2312" w:hAnsi="仿宋" w:eastAsia="仿宋_GB2312"/>
          <w:sz w:val="32"/>
          <w:szCs w:val="32"/>
        </w:rPr>
        <w:t>、</w:t>
      </w:r>
      <w:r>
        <w:rPr>
          <w:rFonts w:ascii="仿宋_GB2312" w:hAnsi="仿宋" w:eastAsia="仿宋_GB2312"/>
          <w:sz w:val="32"/>
          <w:szCs w:val="32"/>
        </w:rPr>
        <w:t>监督和评价工作</w:t>
      </w:r>
      <w:r>
        <w:rPr>
          <w:rFonts w:hint="eastAsia" w:ascii="仿宋_GB2312" w:hAnsi="仿宋" w:eastAsia="仿宋_GB2312"/>
          <w:sz w:val="32"/>
          <w:szCs w:val="32"/>
        </w:rPr>
        <w:t>。</w:t>
      </w:r>
      <w:r>
        <w:rPr>
          <w:rFonts w:ascii="仿宋_GB2312" w:hAnsi="仿宋" w:eastAsia="仿宋_GB2312"/>
          <w:sz w:val="32"/>
          <w:szCs w:val="32"/>
        </w:rPr>
        <w:t>各</w:t>
      </w:r>
      <w:r>
        <w:rPr>
          <w:rFonts w:hint="eastAsia" w:ascii="仿宋_GB2312" w:hAnsi="仿宋" w:eastAsia="仿宋_GB2312"/>
          <w:sz w:val="32"/>
          <w:szCs w:val="32"/>
        </w:rPr>
        <w:t>盟</w:t>
      </w:r>
      <w:r>
        <w:rPr>
          <w:rFonts w:ascii="仿宋_GB2312" w:hAnsi="仿宋" w:eastAsia="仿宋_GB2312"/>
          <w:sz w:val="32"/>
          <w:szCs w:val="32"/>
        </w:rPr>
        <w:t>市科技行政管理部门</w:t>
      </w:r>
      <w:r>
        <w:rPr>
          <w:rFonts w:hint="eastAsia" w:ascii="仿宋_GB2312" w:hAnsi="仿宋" w:eastAsia="仿宋_GB2312"/>
          <w:sz w:val="32"/>
          <w:szCs w:val="32"/>
        </w:rPr>
        <w:t>、</w:t>
      </w:r>
      <w:r>
        <w:rPr>
          <w:rFonts w:ascii="仿宋_GB2312" w:hAnsi="仿宋" w:eastAsia="仿宋_GB2312"/>
          <w:sz w:val="32"/>
          <w:szCs w:val="32"/>
        </w:rPr>
        <w:t>自治区</w:t>
      </w:r>
      <w:r>
        <w:rPr>
          <w:rFonts w:hint="eastAsia" w:ascii="仿宋_GB2312" w:hAnsi="仿宋" w:eastAsia="仿宋_GB2312"/>
          <w:sz w:val="32"/>
          <w:szCs w:val="32"/>
        </w:rPr>
        <w:t>有关</w:t>
      </w:r>
      <w:r>
        <w:rPr>
          <w:rFonts w:ascii="仿宋_GB2312" w:hAnsi="仿宋" w:eastAsia="仿宋_GB2312"/>
          <w:sz w:val="32"/>
          <w:szCs w:val="32"/>
        </w:rPr>
        <w:t>部门</w:t>
      </w:r>
      <w:r>
        <w:rPr>
          <w:rFonts w:hint="eastAsia" w:ascii="仿宋_GB2312" w:hAnsi="仿宋" w:eastAsia="仿宋_GB2312"/>
          <w:sz w:val="32"/>
          <w:szCs w:val="32"/>
        </w:rPr>
        <w:t>、</w:t>
      </w:r>
      <w:r>
        <w:rPr>
          <w:rFonts w:ascii="仿宋_GB2312" w:hAnsi="仿宋" w:eastAsia="仿宋_GB2312"/>
          <w:sz w:val="32"/>
          <w:szCs w:val="32"/>
        </w:rPr>
        <w:t>中央驻区单位等</w:t>
      </w:r>
      <w:r>
        <w:rPr>
          <w:rFonts w:hint="eastAsia" w:ascii="仿宋_GB2312" w:hAnsi="仿宋" w:eastAsia="仿宋_GB2312"/>
          <w:sz w:val="32"/>
          <w:szCs w:val="32"/>
        </w:rPr>
        <w:t>为归口管理部门，</w:t>
      </w:r>
      <w:r>
        <w:rPr>
          <w:rFonts w:ascii="仿宋_GB2312" w:hAnsi="仿宋" w:eastAsia="仿宋_GB2312"/>
          <w:sz w:val="32"/>
          <w:szCs w:val="32"/>
        </w:rPr>
        <w:t>负责本地区、本</w:t>
      </w:r>
      <w:r>
        <w:rPr>
          <w:rFonts w:hint="eastAsia" w:ascii="仿宋_GB2312" w:hAnsi="仿宋" w:eastAsia="仿宋_GB2312"/>
          <w:sz w:val="32"/>
          <w:szCs w:val="32"/>
        </w:rPr>
        <w:t>部门</w:t>
      </w:r>
      <w:r>
        <w:rPr>
          <w:rFonts w:ascii="仿宋_GB2312" w:hAnsi="仿宋" w:eastAsia="仿宋_GB2312"/>
          <w:sz w:val="32"/>
          <w:szCs w:val="32"/>
        </w:rPr>
        <w:t>技术转移机构的</w:t>
      </w:r>
      <w:r>
        <w:rPr>
          <w:rFonts w:hint="eastAsia" w:ascii="仿宋_GB2312" w:hAnsi="仿宋" w:eastAsia="仿宋_GB2312"/>
          <w:sz w:val="32"/>
          <w:szCs w:val="32"/>
        </w:rPr>
        <w:t>初审</w:t>
      </w:r>
      <w:r>
        <w:rPr>
          <w:rFonts w:ascii="仿宋_GB2312" w:hAnsi="仿宋" w:eastAsia="仿宋_GB2312"/>
          <w:sz w:val="32"/>
          <w:szCs w:val="32"/>
        </w:rPr>
        <w:t>、归口推荐和日常管理。</w:t>
      </w:r>
    </w:p>
    <w:p w14:paraId="0F91B788">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第五</w:t>
      </w:r>
      <w:r>
        <w:rPr>
          <w:rFonts w:ascii="仿宋_GB2312" w:hAnsi="仿宋" w:eastAsia="仿宋_GB2312"/>
          <w:b/>
          <w:sz w:val="32"/>
          <w:szCs w:val="32"/>
        </w:rPr>
        <w:t>条</w:t>
      </w:r>
      <w:r>
        <w:rPr>
          <w:rFonts w:hint="eastAsia" w:ascii="仿宋_GB2312" w:hAnsi="仿宋" w:eastAsia="仿宋_GB2312"/>
          <w:sz w:val="32"/>
          <w:szCs w:val="32"/>
        </w:rPr>
        <w:t xml:space="preserve"> 经</w:t>
      </w:r>
      <w:r>
        <w:rPr>
          <w:rFonts w:ascii="仿宋_GB2312" w:hAnsi="仿宋" w:eastAsia="仿宋_GB2312"/>
          <w:sz w:val="32"/>
          <w:szCs w:val="32"/>
        </w:rPr>
        <w:t>自治区科技厅</w:t>
      </w:r>
      <w:r>
        <w:rPr>
          <w:rFonts w:hint="eastAsia" w:ascii="仿宋_GB2312" w:hAnsi="仿宋" w:eastAsia="仿宋_GB2312"/>
          <w:sz w:val="32"/>
          <w:szCs w:val="32"/>
        </w:rPr>
        <w:t>备案的技术</w:t>
      </w:r>
      <w:r>
        <w:rPr>
          <w:rFonts w:ascii="仿宋_GB2312" w:hAnsi="仿宋" w:eastAsia="仿宋_GB2312"/>
          <w:sz w:val="32"/>
          <w:szCs w:val="32"/>
        </w:rPr>
        <w:t>转移机构</w:t>
      </w:r>
      <w:r>
        <w:rPr>
          <w:rFonts w:hint="eastAsia" w:ascii="仿宋_GB2312" w:hAnsi="仿宋" w:eastAsia="仿宋_GB2312"/>
          <w:sz w:val="32"/>
          <w:szCs w:val="32"/>
        </w:rPr>
        <w:t>应</w:t>
      </w:r>
      <w:r>
        <w:rPr>
          <w:rFonts w:ascii="仿宋_GB2312" w:hAnsi="仿宋" w:eastAsia="仿宋_GB2312"/>
          <w:sz w:val="32"/>
          <w:szCs w:val="32"/>
        </w:rPr>
        <w:t>落实</w:t>
      </w:r>
      <w:r>
        <w:rPr>
          <w:rFonts w:hint="eastAsia" w:ascii="仿宋_GB2312" w:hAnsi="仿宋" w:eastAsia="仿宋_GB2312"/>
          <w:sz w:val="32"/>
          <w:szCs w:val="32"/>
        </w:rPr>
        <w:t>建设、</w:t>
      </w:r>
      <w:r>
        <w:rPr>
          <w:rFonts w:ascii="仿宋_GB2312" w:hAnsi="仿宋" w:eastAsia="仿宋_GB2312"/>
          <w:sz w:val="32"/>
          <w:szCs w:val="32"/>
        </w:rPr>
        <w:t>运营</w:t>
      </w:r>
      <w:r>
        <w:rPr>
          <w:rFonts w:hint="eastAsia" w:ascii="仿宋_GB2312" w:hAnsi="仿宋" w:eastAsia="仿宋_GB2312"/>
          <w:sz w:val="32"/>
          <w:szCs w:val="32"/>
        </w:rPr>
        <w:t>、</w:t>
      </w:r>
      <w:r>
        <w:rPr>
          <w:rFonts w:ascii="仿宋_GB2312" w:hAnsi="仿宋" w:eastAsia="仿宋_GB2312"/>
          <w:sz w:val="32"/>
          <w:szCs w:val="32"/>
        </w:rPr>
        <w:t>安全、保密等主体</w:t>
      </w:r>
      <w:r>
        <w:rPr>
          <w:rFonts w:hint="eastAsia" w:ascii="仿宋_GB2312" w:hAnsi="仿宋" w:eastAsia="仿宋_GB2312"/>
          <w:sz w:val="32"/>
          <w:szCs w:val="32"/>
        </w:rPr>
        <w:t>责任，</w:t>
      </w:r>
      <w:r>
        <w:rPr>
          <w:rFonts w:ascii="仿宋_GB2312" w:hAnsi="仿宋" w:eastAsia="仿宋_GB2312"/>
          <w:sz w:val="32"/>
          <w:szCs w:val="32"/>
        </w:rPr>
        <w:t>提供人、财、物等必备条件，规范开展技术转移服务，</w:t>
      </w:r>
      <w:r>
        <w:rPr>
          <w:rFonts w:hint="eastAsia" w:ascii="仿宋_GB2312" w:hAnsi="仿宋" w:eastAsia="仿宋_GB2312"/>
          <w:sz w:val="32"/>
          <w:szCs w:val="32"/>
        </w:rPr>
        <w:t>按</w:t>
      </w:r>
      <w:r>
        <w:rPr>
          <w:rFonts w:ascii="仿宋_GB2312" w:hAnsi="仿宋" w:eastAsia="仿宋_GB2312"/>
          <w:sz w:val="32"/>
          <w:szCs w:val="32"/>
        </w:rPr>
        <w:t>规定管理和使用财政经费，配</w:t>
      </w:r>
      <w:r>
        <w:rPr>
          <w:rFonts w:hint="eastAsia" w:ascii="仿宋_GB2312" w:hAnsi="仿宋" w:eastAsia="仿宋_GB2312"/>
          <w:sz w:val="32"/>
          <w:szCs w:val="32"/>
        </w:rPr>
        <w:t>合绩效</w:t>
      </w:r>
      <w:r>
        <w:rPr>
          <w:rFonts w:ascii="仿宋_GB2312" w:hAnsi="仿宋" w:eastAsia="仿宋_GB2312"/>
          <w:sz w:val="32"/>
          <w:szCs w:val="32"/>
        </w:rPr>
        <w:t>评价等监督管理工作。</w:t>
      </w:r>
    </w:p>
    <w:p w14:paraId="1EC86E49">
      <w:pPr>
        <w:spacing w:before="156" w:beforeLines="50" w:after="156" w:afterLines="50" w:line="640" w:lineRule="exact"/>
        <w:jc w:val="center"/>
        <w:rPr>
          <w:rFonts w:ascii="黑体" w:hAnsi="黑体" w:eastAsia="黑体"/>
          <w:sz w:val="32"/>
          <w:szCs w:val="32"/>
        </w:rPr>
      </w:pPr>
      <w:r>
        <w:rPr>
          <w:rFonts w:hint="eastAsia" w:ascii="黑体" w:hAnsi="黑体" w:eastAsia="黑体"/>
          <w:sz w:val="32"/>
          <w:szCs w:val="32"/>
        </w:rPr>
        <w:t>第</w:t>
      </w:r>
      <w:r>
        <w:rPr>
          <w:rFonts w:ascii="黑体" w:hAnsi="黑体" w:eastAsia="黑体"/>
          <w:sz w:val="32"/>
          <w:szCs w:val="32"/>
        </w:rPr>
        <w:t>二章</w:t>
      </w:r>
      <w:r>
        <w:rPr>
          <w:rFonts w:hint="eastAsia" w:ascii="黑体" w:hAnsi="黑体" w:eastAsia="黑体"/>
          <w:sz w:val="32"/>
          <w:szCs w:val="32"/>
        </w:rPr>
        <w:t xml:space="preserve">  </w:t>
      </w:r>
      <w:r>
        <w:rPr>
          <w:rFonts w:ascii="黑体" w:hAnsi="黑体" w:eastAsia="黑体"/>
          <w:sz w:val="32"/>
          <w:szCs w:val="32"/>
        </w:rPr>
        <w:t>主要功能与业务</w:t>
      </w:r>
      <w:r>
        <w:rPr>
          <w:rFonts w:hint="eastAsia" w:ascii="黑体" w:hAnsi="黑体" w:eastAsia="黑体"/>
          <w:sz w:val="32"/>
          <w:szCs w:val="32"/>
        </w:rPr>
        <w:t>范围</w:t>
      </w:r>
    </w:p>
    <w:p w14:paraId="091A5149">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第六</w:t>
      </w:r>
      <w:r>
        <w:rPr>
          <w:rFonts w:ascii="仿宋_GB2312" w:hAnsi="仿宋" w:eastAsia="仿宋_GB2312"/>
          <w:b/>
          <w:sz w:val="32"/>
          <w:szCs w:val="32"/>
        </w:rPr>
        <w:t>条</w:t>
      </w:r>
      <w:r>
        <w:rPr>
          <w:rFonts w:hint="eastAsia" w:ascii="仿宋_GB2312" w:hAnsi="仿宋" w:eastAsia="仿宋_GB2312"/>
          <w:b/>
          <w:sz w:val="32"/>
          <w:szCs w:val="32"/>
        </w:rPr>
        <w:t xml:space="preserve"> </w:t>
      </w:r>
      <w:r>
        <w:rPr>
          <w:rFonts w:hint="eastAsia" w:ascii="仿宋_GB2312" w:hAnsi="仿宋" w:eastAsia="仿宋_GB2312"/>
          <w:sz w:val="32"/>
          <w:szCs w:val="32"/>
        </w:rPr>
        <w:t>自治区级</w:t>
      </w:r>
      <w:r>
        <w:rPr>
          <w:rFonts w:ascii="仿宋_GB2312" w:hAnsi="仿宋" w:eastAsia="仿宋_GB2312"/>
          <w:sz w:val="32"/>
          <w:szCs w:val="32"/>
        </w:rPr>
        <w:t>技术转移机构的主要功能是促进科技成果转移转化，其业务范围</w:t>
      </w:r>
      <w:r>
        <w:rPr>
          <w:rFonts w:hint="eastAsia" w:ascii="仿宋_GB2312" w:hAnsi="仿宋" w:eastAsia="仿宋_GB2312"/>
          <w:sz w:val="32"/>
          <w:szCs w:val="32"/>
        </w:rPr>
        <w:t>主要包括</w:t>
      </w:r>
      <w:r>
        <w:rPr>
          <w:rFonts w:ascii="仿宋_GB2312" w:hAnsi="仿宋" w:eastAsia="仿宋_GB2312"/>
          <w:sz w:val="32"/>
          <w:szCs w:val="32"/>
        </w:rPr>
        <w:t>：</w:t>
      </w:r>
    </w:p>
    <w:p w14:paraId="14D97E95">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（一）对技术信息的搜集、筛选、分析、加工、发布；</w:t>
      </w:r>
    </w:p>
    <w:p w14:paraId="03D6FC47">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（二）技术转让与技术代理；</w:t>
      </w:r>
    </w:p>
    <w:p w14:paraId="2E02C35B">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（三）技术集成与二次开发、技术熟化孵化、技术推广；</w:t>
      </w:r>
    </w:p>
    <w:p w14:paraId="4657DEE5">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（四）提供概念验证、</w:t>
      </w:r>
      <w:r>
        <w:rPr>
          <w:rFonts w:hint="eastAsia" w:ascii="仿宋_GB2312" w:hAnsi="仿宋" w:eastAsia="仿宋_GB2312"/>
          <w:sz w:val="32"/>
          <w:szCs w:val="32"/>
        </w:rPr>
        <w:t>小试</w:t>
      </w:r>
      <w:r>
        <w:rPr>
          <w:rFonts w:ascii="仿宋_GB2312" w:hAnsi="仿宋" w:eastAsia="仿宋_GB2312"/>
          <w:sz w:val="32"/>
          <w:szCs w:val="32"/>
        </w:rPr>
        <w:t>、中试、工程化设计、技术标准、测试分析服务等；</w:t>
      </w:r>
    </w:p>
    <w:p w14:paraId="58E55955">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（五）技术咨询、技术服务、技术评估、技术培训、技术产权交易、技术招标代理、投融资等服务；</w:t>
      </w:r>
    </w:p>
    <w:p w14:paraId="79A27FBC">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（六）提供技术交易信息网络平台服务；</w:t>
      </w:r>
    </w:p>
    <w:p w14:paraId="26D47DFE">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（七）技术转移人才培训服务；</w:t>
      </w:r>
    </w:p>
    <w:p w14:paraId="60F39326">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（八）其他有关促进技术转移的活动。</w:t>
      </w:r>
    </w:p>
    <w:p w14:paraId="02D7A116">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 xml:space="preserve">第七条 </w:t>
      </w:r>
      <w:r>
        <w:rPr>
          <w:rFonts w:ascii="仿宋_GB2312" w:hAnsi="仿宋" w:eastAsia="仿宋_GB2312"/>
          <w:sz w:val="32"/>
          <w:szCs w:val="32"/>
        </w:rPr>
        <w:t>高校和科研机构</w:t>
      </w:r>
      <w:r>
        <w:rPr>
          <w:rFonts w:hint="eastAsia" w:ascii="仿宋_GB2312" w:hAnsi="仿宋" w:eastAsia="仿宋_GB2312"/>
          <w:sz w:val="32"/>
          <w:szCs w:val="32"/>
        </w:rPr>
        <w:t>应</w:t>
      </w:r>
      <w:r>
        <w:rPr>
          <w:rFonts w:ascii="仿宋_GB2312" w:hAnsi="仿宋" w:eastAsia="仿宋_GB2312"/>
          <w:sz w:val="32"/>
          <w:szCs w:val="32"/>
        </w:rPr>
        <w:t>建立技术转移机构或机制，将其形成的科技成果尽快转移</w:t>
      </w:r>
      <w:r>
        <w:rPr>
          <w:rFonts w:hint="eastAsia" w:ascii="仿宋_GB2312" w:hAnsi="仿宋" w:eastAsia="仿宋_GB2312"/>
          <w:sz w:val="32"/>
          <w:szCs w:val="32"/>
        </w:rPr>
        <w:t>转化</w:t>
      </w:r>
      <w:r>
        <w:rPr>
          <w:rFonts w:ascii="仿宋_GB2312" w:hAnsi="仿宋" w:eastAsia="仿宋_GB2312"/>
          <w:sz w:val="32"/>
          <w:szCs w:val="32"/>
        </w:rPr>
        <w:t>。</w:t>
      </w:r>
    </w:p>
    <w:p w14:paraId="7190A21B">
      <w:pPr>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 xml:space="preserve">第八条 </w:t>
      </w:r>
      <w:r>
        <w:rPr>
          <w:rFonts w:ascii="仿宋_GB2312" w:hAnsi="仿宋" w:eastAsia="仿宋_GB2312"/>
          <w:sz w:val="32"/>
          <w:szCs w:val="32"/>
        </w:rPr>
        <w:t>鼓励具备条件的学会、行业协会、研究会等社会组织</w:t>
      </w:r>
      <w:r>
        <w:rPr>
          <w:rFonts w:hint="eastAsia" w:ascii="仿宋_GB2312" w:hAnsi="仿宋" w:eastAsia="仿宋_GB2312"/>
          <w:sz w:val="32"/>
          <w:szCs w:val="32"/>
        </w:rPr>
        <w:t>和</w:t>
      </w:r>
      <w:r>
        <w:rPr>
          <w:rFonts w:ascii="仿宋_GB2312" w:hAnsi="仿宋" w:eastAsia="仿宋_GB2312"/>
          <w:sz w:val="32"/>
          <w:szCs w:val="32"/>
        </w:rPr>
        <w:t>大学科技园</w:t>
      </w:r>
      <w:r>
        <w:rPr>
          <w:rFonts w:hint="eastAsia" w:ascii="仿宋_GB2312" w:hAnsi="仿宋" w:eastAsia="仿宋_GB2312"/>
          <w:sz w:val="32"/>
          <w:szCs w:val="32"/>
        </w:rPr>
        <w:t>、</w:t>
      </w:r>
      <w:r>
        <w:rPr>
          <w:rFonts w:ascii="仿宋_GB2312" w:hAnsi="仿宋" w:eastAsia="仿宋_GB2312"/>
          <w:sz w:val="32"/>
          <w:szCs w:val="32"/>
        </w:rPr>
        <w:t>科技</w:t>
      </w:r>
      <w:r>
        <w:rPr>
          <w:rFonts w:hint="eastAsia" w:ascii="仿宋_GB2312" w:hAnsi="仿宋" w:eastAsia="仿宋_GB2312"/>
          <w:sz w:val="32"/>
          <w:szCs w:val="32"/>
        </w:rPr>
        <w:t>型</w:t>
      </w:r>
      <w:r>
        <w:rPr>
          <w:rFonts w:ascii="仿宋_GB2312" w:hAnsi="仿宋" w:eastAsia="仿宋_GB2312"/>
          <w:sz w:val="32"/>
          <w:szCs w:val="32"/>
        </w:rPr>
        <w:t>企业孵化器、</w:t>
      </w:r>
      <w:r>
        <w:rPr>
          <w:rFonts w:hint="eastAsia" w:ascii="仿宋_GB2312" w:hAnsi="仿宋" w:eastAsia="仿宋_GB2312"/>
          <w:sz w:val="32"/>
          <w:szCs w:val="32"/>
        </w:rPr>
        <w:t>加速器</w:t>
      </w:r>
      <w:r>
        <w:rPr>
          <w:rFonts w:ascii="仿宋_GB2312" w:hAnsi="仿宋" w:eastAsia="仿宋_GB2312"/>
          <w:sz w:val="32"/>
          <w:szCs w:val="32"/>
        </w:rPr>
        <w:t>等各类科技创业孵化机构建立技术转移机构。</w:t>
      </w:r>
    </w:p>
    <w:p w14:paraId="71A77AFE">
      <w:pPr>
        <w:spacing w:before="156" w:beforeLines="50" w:after="156" w:afterLines="50" w:line="640" w:lineRule="exact"/>
        <w:jc w:val="center"/>
        <w:rPr>
          <w:rFonts w:ascii="黑体" w:hAnsi="黑体" w:eastAsia="黑体"/>
          <w:sz w:val="32"/>
          <w:szCs w:val="32"/>
        </w:rPr>
      </w:pPr>
      <w:r>
        <w:rPr>
          <w:rFonts w:hint="eastAsia" w:ascii="黑体" w:hAnsi="黑体" w:eastAsia="黑体"/>
          <w:sz w:val="32"/>
          <w:szCs w:val="32"/>
        </w:rPr>
        <w:t>第</w:t>
      </w:r>
      <w:r>
        <w:rPr>
          <w:rFonts w:ascii="黑体" w:hAnsi="黑体" w:eastAsia="黑体"/>
          <w:sz w:val="32"/>
          <w:szCs w:val="32"/>
        </w:rPr>
        <w:t>三章</w:t>
      </w:r>
      <w:r>
        <w:rPr>
          <w:rFonts w:hint="eastAsia" w:ascii="黑体" w:hAnsi="黑体" w:eastAsia="黑体"/>
          <w:sz w:val="32"/>
          <w:szCs w:val="32"/>
        </w:rPr>
        <w:t xml:space="preserve">  </w:t>
      </w:r>
      <w:r>
        <w:rPr>
          <w:rFonts w:ascii="黑体" w:hAnsi="黑体" w:eastAsia="黑体"/>
          <w:sz w:val="32"/>
          <w:szCs w:val="32"/>
        </w:rPr>
        <w:t>备案</w:t>
      </w:r>
      <w:r>
        <w:rPr>
          <w:rFonts w:hint="eastAsia" w:ascii="黑体" w:hAnsi="黑体" w:eastAsia="黑体"/>
          <w:sz w:val="32"/>
          <w:szCs w:val="32"/>
        </w:rPr>
        <w:t>条件</w:t>
      </w:r>
      <w:r>
        <w:rPr>
          <w:rFonts w:ascii="黑体" w:hAnsi="黑体" w:eastAsia="黑体"/>
          <w:sz w:val="32"/>
          <w:szCs w:val="32"/>
        </w:rPr>
        <w:t>和程序</w:t>
      </w:r>
    </w:p>
    <w:p w14:paraId="272DD6F6">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第九</w:t>
      </w:r>
      <w:r>
        <w:rPr>
          <w:rFonts w:ascii="仿宋_GB2312" w:hAnsi="仿宋" w:eastAsia="仿宋_GB2312"/>
          <w:b/>
          <w:sz w:val="32"/>
          <w:szCs w:val="32"/>
        </w:rPr>
        <w:t>条</w:t>
      </w:r>
      <w:r>
        <w:rPr>
          <w:rFonts w:hint="eastAsia" w:ascii="仿宋_GB2312" w:hAnsi="仿宋" w:eastAsia="仿宋_GB2312"/>
          <w:b/>
          <w:sz w:val="32"/>
          <w:szCs w:val="32"/>
        </w:rPr>
        <w:t xml:space="preserve"> </w:t>
      </w:r>
      <w:r>
        <w:rPr>
          <w:rFonts w:hint="eastAsia" w:ascii="仿宋_GB2312" w:hAnsi="仿宋" w:eastAsia="仿宋_GB2312"/>
          <w:sz w:val="32"/>
          <w:szCs w:val="32"/>
        </w:rPr>
        <w:t>申请</w:t>
      </w:r>
      <w:r>
        <w:rPr>
          <w:rFonts w:ascii="仿宋_GB2312" w:hAnsi="仿宋" w:eastAsia="仿宋_GB2312"/>
          <w:sz w:val="32"/>
          <w:szCs w:val="32"/>
        </w:rPr>
        <w:t>备案</w:t>
      </w:r>
      <w:r>
        <w:rPr>
          <w:rFonts w:hint="eastAsia" w:ascii="仿宋_GB2312" w:hAnsi="仿宋" w:eastAsia="仿宋_GB2312"/>
          <w:sz w:val="32"/>
          <w:szCs w:val="32"/>
        </w:rPr>
        <w:t>自治区</w:t>
      </w:r>
      <w:r>
        <w:rPr>
          <w:rFonts w:ascii="仿宋_GB2312" w:hAnsi="仿宋" w:eastAsia="仿宋_GB2312"/>
          <w:sz w:val="32"/>
          <w:szCs w:val="32"/>
        </w:rPr>
        <w:t>级技术转移机构应</w:t>
      </w:r>
      <w:r>
        <w:rPr>
          <w:rFonts w:hint="eastAsia" w:ascii="仿宋_GB2312" w:hAnsi="仿宋" w:eastAsia="仿宋_GB2312"/>
          <w:sz w:val="32"/>
          <w:szCs w:val="32"/>
        </w:rPr>
        <w:t>具备</w:t>
      </w:r>
      <w:r>
        <w:rPr>
          <w:rFonts w:ascii="仿宋_GB2312" w:hAnsi="仿宋" w:eastAsia="仿宋_GB2312"/>
          <w:sz w:val="32"/>
          <w:szCs w:val="32"/>
        </w:rPr>
        <w:t>以下条件：</w:t>
      </w:r>
    </w:p>
    <w:p w14:paraId="7DF4327A">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1.独立法人机构应在我</w:t>
      </w:r>
      <w:r>
        <w:rPr>
          <w:rFonts w:hint="eastAsia" w:ascii="仿宋_GB2312" w:hAnsi="仿宋" w:eastAsia="仿宋_GB2312"/>
          <w:sz w:val="32"/>
          <w:szCs w:val="32"/>
        </w:rPr>
        <w:t>区</w:t>
      </w:r>
      <w:r>
        <w:rPr>
          <w:rFonts w:ascii="仿宋_GB2312" w:hAnsi="仿宋" w:eastAsia="仿宋_GB2312"/>
          <w:sz w:val="32"/>
          <w:szCs w:val="32"/>
        </w:rPr>
        <w:t>注册满1年；内设机构的依托单位应具有独立法人资格，在我</w:t>
      </w:r>
      <w:r>
        <w:rPr>
          <w:rFonts w:hint="eastAsia" w:ascii="仿宋_GB2312" w:hAnsi="仿宋" w:eastAsia="仿宋_GB2312"/>
          <w:sz w:val="32"/>
          <w:szCs w:val="32"/>
        </w:rPr>
        <w:t>区</w:t>
      </w:r>
      <w:r>
        <w:rPr>
          <w:rFonts w:ascii="仿宋_GB2312" w:hAnsi="仿宋" w:eastAsia="仿宋_GB2312"/>
          <w:sz w:val="32"/>
          <w:szCs w:val="32"/>
        </w:rPr>
        <w:t>注册满1年</w:t>
      </w:r>
      <w:r>
        <w:rPr>
          <w:rFonts w:hint="eastAsia" w:ascii="仿宋_GB2312" w:hAnsi="仿宋" w:eastAsia="仿宋_GB2312"/>
          <w:sz w:val="32"/>
          <w:szCs w:val="32"/>
        </w:rPr>
        <w:t>。</w:t>
      </w:r>
    </w:p>
    <w:p w14:paraId="45E45166">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2.符合</w:t>
      </w:r>
      <w:r>
        <w:rPr>
          <w:rFonts w:hint="eastAsia" w:ascii="仿宋_GB2312" w:hAnsi="仿宋" w:eastAsia="仿宋_GB2312"/>
          <w:sz w:val="32"/>
          <w:szCs w:val="32"/>
        </w:rPr>
        <w:t>国家和自治区</w:t>
      </w:r>
      <w:r>
        <w:rPr>
          <w:rFonts w:ascii="仿宋_GB2312" w:hAnsi="仿宋" w:eastAsia="仿宋_GB2312"/>
          <w:sz w:val="32"/>
          <w:szCs w:val="32"/>
        </w:rPr>
        <w:t>产业政策，发展方向明确，具备适合机构发展的商业模式、特色经营项目和核心竞争力。</w:t>
      </w:r>
    </w:p>
    <w:p w14:paraId="2150A71F">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3.技术转移机构应有固定的经营场所；有不少于5</w:t>
      </w:r>
      <w:r>
        <w:rPr>
          <w:rFonts w:hint="eastAsia" w:ascii="仿宋_GB2312" w:hAnsi="仿宋" w:eastAsia="仿宋_GB2312"/>
          <w:sz w:val="32"/>
          <w:szCs w:val="32"/>
        </w:rPr>
        <w:t>名</w:t>
      </w:r>
      <w:r>
        <w:rPr>
          <w:rFonts w:ascii="仿宋_GB2312" w:hAnsi="仿宋" w:eastAsia="仿宋_GB2312"/>
          <w:sz w:val="32"/>
          <w:szCs w:val="32"/>
        </w:rPr>
        <w:t>专职人员，其中具备国家</w:t>
      </w:r>
      <w:r>
        <w:rPr>
          <w:rFonts w:hint="eastAsia" w:ascii="仿宋_GB2312" w:hAnsi="仿宋" w:eastAsia="仿宋_GB2312"/>
          <w:sz w:val="32"/>
          <w:szCs w:val="32"/>
        </w:rPr>
        <w:t>和</w:t>
      </w:r>
      <w:r>
        <w:rPr>
          <w:rFonts w:ascii="仿宋_GB2312" w:hAnsi="仿宋" w:eastAsia="仿宋_GB2312"/>
          <w:sz w:val="32"/>
          <w:szCs w:val="32"/>
        </w:rPr>
        <w:t>自治区技术转移人才培养基地培训认证的技术经纪人或技术经理人资质的人员不少于3人。</w:t>
      </w:r>
    </w:p>
    <w:p w14:paraId="0BA84372">
      <w:pPr>
        <w:spacing w:line="640" w:lineRule="exact"/>
        <w:ind w:firstLine="640" w:firstLineChars="200"/>
        <w:rPr>
          <w:rFonts w:ascii="仿宋_GB2312" w:hAnsi="仿宋" w:eastAsia="仿宋_GB2312"/>
          <w:sz w:val="32"/>
          <w:szCs w:val="32"/>
        </w:rPr>
      </w:pPr>
      <w:r>
        <w:rPr>
          <w:rFonts w:ascii="仿宋_GB2312" w:hAnsi="仿宋" w:eastAsia="仿宋_GB2312"/>
          <w:sz w:val="32"/>
          <w:szCs w:val="32"/>
        </w:rPr>
        <w:t>4.经营状况良好，服务业绩明显。年度</w:t>
      </w:r>
      <w:r>
        <w:rPr>
          <w:rFonts w:hint="eastAsia" w:ascii="仿宋_GB2312" w:hAnsi="仿宋" w:eastAsia="仿宋_GB2312"/>
          <w:sz w:val="32"/>
          <w:szCs w:val="32"/>
        </w:rPr>
        <w:t>促成技术转移成果转化项目不少于</w:t>
      </w:r>
      <w:r>
        <w:rPr>
          <w:rFonts w:ascii="仿宋_GB2312" w:hAnsi="仿宋" w:eastAsia="仿宋_GB2312"/>
          <w:sz w:val="32"/>
          <w:szCs w:val="32"/>
        </w:rPr>
        <w:t>5项，促成</w:t>
      </w:r>
      <w:r>
        <w:rPr>
          <w:rFonts w:hint="eastAsia" w:ascii="仿宋_GB2312" w:hAnsi="仿宋" w:eastAsia="仿宋_GB2312"/>
          <w:sz w:val="32"/>
          <w:szCs w:val="32"/>
        </w:rPr>
        <w:t>技术合同登记额</w:t>
      </w:r>
      <w:r>
        <w:rPr>
          <w:rFonts w:ascii="仿宋_GB2312" w:hAnsi="仿宋" w:eastAsia="仿宋_GB2312"/>
          <w:sz w:val="32"/>
          <w:szCs w:val="32"/>
        </w:rPr>
        <w:t>不低于500万元；年度</w:t>
      </w:r>
      <w:r>
        <w:rPr>
          <w:rFonts w:hint="eastAsia" w:ascii="仿宋_GB2312" w:hAnsi="仿宋" w:eastAsia="仿宋_GB2312"/>
          <w:sz w:val="32"/>
          <w:szCs w:val="32"/>
        </w:rPr>
        <w:t>服务高校、院所和企业数量不低于</w:t>
      </w:r>
      <w:r>
        <w:rPr>
          <w:rFonts w:ascii="仿宋_GB2312" w:hAnsi="仿宋" w:eastAsia="仿宋_GB2312"/>
          <w:sz w:val="32"/>
          <w:szCs w:val="32"/>
        </w:rPr>
        <w:t>20家；年度组织交流</w:t>
      </w:r>
      <w:r>
        <w:rPr>
          <w:rFonts w:hint="eastAsia" w:ascii="仿宋_GB2312" w:hAnsi="仿宋" w:eastAsia="仿宋_GB2312"/>
          <w:sz w:val="32"/>
          <w:szCs w:val="32"/>
        </w:rPr>
        <w:t>对接</w:t>
      </w:r>
      <w:r>
        <w:rPr>
          <w:rFonts w:ascii="仿宋_GB2312" w:hAnsi="仿宋" w:eastAsia="仿宋_GB2312"/>
          <w:sz w:val="32"/>
          <w:szCs w:val="32"/>
        </w:rPr>
        <w:t>等活动不低于5次</w:t>
      </w:r>
      <w:r>
        <w:rPr>
          <w:rFonts w:hint="eastAsia" w:ascii="仿宋_GB2312" w:hAnsi="仿宋" w:eastAsia="仿宋_GB2312"/>
          <w:sz w:val="32"/>
          <w:szCs w:val="32"/>
        </w:rPr>
        <w:t>。</w:t>
      </w:r>
    </w:p>
    <w:p w14:paraId="651A97E4">
      <w:pPr>
        <w:spacing w:line="640" w:lineRule="exact"/>
        <w:ind w:firstLine="640" w:firstLineChars="20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规章制度健全，具有科学有效的管理机制。有明确从事技术转移服务的章程、客户服务管理的规范性程序、健全的内部管理制度。</w:t>
      </w:r>
    </w:p>
    <w:p w14:paraId="02EAD25D">
      <w:pPr>
        <w:spacing w:line="640" w:lineRule="exact"/>
        <w:ind w:firstLine="640" w:firstLineChars="200"/>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信用</w:t>
      </w:r>
      <w:r>
        <w:rPr>
          <w:rFonts w:ascii="仿宋_GB2312" w:hAnsi="仿宋" w:eastAsia="仿宋_GB2312"/>
          <w:sz w:val="32"/>
          <w:szCs w:val="32"/>
        </w:rPr>
        <w:t>良好，具备良好的科研诚信，无在惩戒执行期内的科研诚信严重失信行为记录。</w:t>
      </w:r>
    </w:p>
    <w:p w14:paraId="08632395">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第十条</w:t>
      </w:r>
      <w:r>
        <w:rPr>
          <w:rFonts w:hint="eastAsia" w:ascii="仿宋_GB2312" w:hAnsi="仿宋" w:eastAsia="仿宋_GB2312"/>
          <w:sz w:val="32"/>
          <w:szCs w:val="32"/>
        </w:rPr>
        <w:t xml:space="preserve"> </w:t>
      </w:r>
      <w:r>
        <w:rPr>
          <w:rFonts w:ascii="仿宋_GB2312" w:hAnsi="仿宋" w:eastAsia="仿宋_GB2312"/>
          <w:sz w:val="32"/>
          <w:szCs w:val="32"/>
        </w:rPr>
        <w:t>备案</w:t>
      </w:r>
      <w:r>
        <w:rPr>
          <w:rFonts w:hint="eastAsia" w:ascii="仿宋_GB2312" w:hAnsi="仿宋" w:eastAsia="仿宋_GB2312"/>
          <w:sz w:val="32"/>
          <w:szCs w:val="32"/>
        </w:rPr>
        <w:t>程序</w:t>
      </w:r>
      <w:r>
        <w:rPr>
          <w:rFonts w:ascii="仿宋_GB2312" w:hAnsi="仿宋" w:eastAsia="仿宋_GB2312"/>
          <w:sz w:val="32"/>
          <w:szCs w:val="32"/>
        </w:rPr>
        <w:t>：</w:t>
      </w:r>
    </w:p>
    <w:p w14:paraId="185CE4A5">
      <w:pPr>
        <w:widowControl/>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.申报。</w:t>
      </w:r>
      <w:r>
        <w:rPr>
          <w:rFonts w:hint="eastAsia" w:ascii="仿宋_GB2312" w:hAnsi="仿宋" w:eastAsia="仿宋_GB2312"/>
          <w:sz w:val="32"/>
          <w:szCs w:val="32"/>
        </w:rPr>
        <w:t>自治区</w:t>
      </w:r>
      <w:r>
        <w:rPr>
          <w:rFonts w:ascii="仿宋_GB2312" w:hAnsi="仿宋" w:eastAsia="仿宋_GB2312"/>
          <w:sz w:val="32"/>
          <w:szCs w:val="32"/>
        </w:rPr>
        <w:t>级技术转移机构</w:t>
      </w:r>
      <w:r>
        <w:rPr>
          <w:rFonts w:hint="eastAsia" w:ascii="仿宋_GB2312" w:hAnsi="仿宋" w:eastAsia="仿宋_GB2312"/>
          <w:sz w:val="32"/>
          <w:szCs w:val="32"/>
        </w:rPr>
        <w:t>的</w:t>
      </w:r>
      <w:r>
        <w:rPr>
          <w:rFonts w:ascii="仿宋_GB2312" w:hAnsi="仿宋" w:eastAsia="仿宋_GB2312"/>
          <w:sz w:val="32"/>
          <w:szCs w:val="32"/>
        </w:rPr>
        <w:t>备案实行集中受理，申报单位根据自治区科技厅发布的年度申报通知，填写《</w:t>
      </w:r>
      <w:r>
        <w:rPr>
          <w:rFonts w:hint="eastAsia" w:ascii="仿宋_GB2312" w:hAnsi="仿宋" w:eastAsia="仿宋_GB2312"/>
          <w:sz w:val="32"/>
          <w:szCs w:val="32"/>
        </w:rPr>
        <w:t>内蒙古自治区</w:t>
      </w:r>
      <w:r>
        <w:rPr>
          <w:rFonts w:ascii="仿宋_GB2312" w:hAnsi="仿宋" w:eastAsia="仿宋_GB2312"/>
          <w:sz w:val="32"/>
          <w:szCs w:val="32"/>
        </w:rPr>
        <w:t>技术转移机构备案</w:t>
      </w:r>
      <w:r>
        <w:rPr>
          <w:rFonts w:hint="eastAsia" w:ascii="仿宋_GB2312" w:hAnsi="仿宋" w:eastAsia="仿宋_GB2312"/>
          <w:sz w:val="32"/>
          <w:szCs w:val="32"/>
        </w:rPr>
        <w:t>申报书</w:t>
      </w:r>
      <w:r>
        <w:rPr>
          <w:rFonts w:ascii="仿宋_GB2312" w:hAnsi="仿宋" w:eastAsia="仿宋_GB2312"/>
          <w:sz w:val="32"/>
          <w:szCs w:val="32"/>
        </w:rPr>
        <w:t>》并</w:t>
      </w:r>
      <w:r>
        <w:rPr>
          <w:rFonts w:hint="eastAsia" w:ascii="仿宋_GB2312" w:hAnsi="仿宋" w:eastAsia="仿宋_GB2312"/>
          <w:sz w:val="32"/>
          <w:szCs w:val="32"/>
        </w:rPr>
        <w:t>提交</w:t>
      </w:r>
      <w:r>
        <w:rPr>
          <w:rFonts w:ascii="仿宋_GB2312" w:hAnsi="仿宋" w:eastAsia="仿宋_GB2312"/>
          <w:sz w:val="32"/>
          <w:szCs w:val="32"/>
        </w:rPr>
        <w:t>相关佐证材料。</w:t>
      </w:r>
    </w:p>
    <w:p w14:paraId="2E9CA90B">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2.推荐。归口管理</w:t>
      </w:r>
      <w:r>
        <w:rPr>
          <w:rFonts w:hint="eastAsia" w:ascii="仿宋_GB2312" w:hAnsi="仿宋" w:eastAsia="仿宋_GB2312"/>
          <w:sz w:val="32"/>
          <w:szCs w:val="32"/>
        </w:rPr>
        <w:t>部门</w:t>
      </w:r>
      <w:r>
        <w:rPr>
          <w:rFonts w:ascii="仿宋_GB2312" w:hAnsi="仿宋" w:eastAsia="仿宋_GB2312"/>
          <w:sz w:val="32"/>
          <w:szCs w:val="32"/>
        </w:rPr>
        <w:t>对本地区、本部门技术转移机构的申报材料进行审查，重点考察材料的完整性、真实性、合规性，并择优推荐。</w:t>
      </w:r>
    </w:p>
    <w:p w14:paraId="52C9FF46">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3.审核。自治区科技厅组织专家对申报材料进行审核，对符合条件的，择优确定为拟备案机构。</w:t>
      </w:r>
    </w:p>
    <w:p w14:paraId="4158AE0D">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4.公示。自治区科技厅对拟备案机构，在自治区科技厅网站公示5日。</w:t>
      </w:r>
    </w:p>
    <w:p w14:paraId="3BD0E2EA">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5.公布。公示期满无异议的，纳入</w:t>
      </w:r>
      <w:r>
        <w:rPr>
          <w:rFonts w:hint="eastAsia" w:ascii="仿宋_GB2312" w:hAnsi="仿宋" w:eastAsia="仿宋_GB2312"/>
          <w:sz w:val="32"/>
          <w:szCs w:val="32"/>
        </w:rPr>
        <w:t>自治区</w:t>
      </w:r>
      <w:r>
        <w:rPr>
          <w:rFonts w:ascii="仿宋_GB2312" w:hAnsi="仿宋" w:eastAsia="仿宋_GB2312"/>
          <w:sz w:val="32"/>
          <w:szCs w:val="32"/>
        </w:rPr>
        <w:t>级技术转移机构管理序列，由自治区科技厅正式发文</w:t>
      </w:r>
      <w:r>
        <w:rPr>
          <w:rFonts w:hint="eastAsia" w:ascii="仿宋_GB2312" w:hAnsi="仿宋" w:eastAsia="仿宋_GB2312"/>
          <w:sz w:val="32"/>
          <w:szCs w:val="32"/>
        </w:rPr>
        <w:t>公布。</w:t>
      </w:r>
    </w:p>
    <w:p w14:paraId="0A72EB9A">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 xml:space="preserve">第十一条 </w:t>
      </w:r>
      <w:r>
        <w:rPr>
          <w:rFonts w:hint="eastAsia" w:ascii="仿宋_GB2312" w:hAnsi="仿宋" w:eastAsia="仿宋_GB2312"/>
          <w:sz w:val="32"/>
          <w:szCs w:val="32"/>
        </w:rPr>
        <w:t>新申报国家级技术转移机构的，应从自治区级技术转移机构中择优推荐。</w:t>
      </w:r>
    </w:p>
    <w:p w14:paraId="3DA84715">
      <w:pPr>
        <w:spacing w:before="156" w:beforeLines="50" w:after="156" w:afterLines="50" w:line="640" w:lineRule="exact"/>
        <w:jc w:val="center"/>
        <w:rPr>
          <w:rFonts w:ascii="黑体" w:hAnsi="黑体" w:eastAsia="黑体"/>
          <w:sz w:val="32"/>
          <w:szCs w:val="32"/>
        </w:rPr>
      </w:pPr>
      <w:r>
        <w:rPr>
          <w:rFonts w:ascii="黑体" w:hAnsi="黑体" w:eastAsia="黑体"/>
          <w:sz w:val="32"/>
          <w:szCs w:val="32"/>
        </w:rPr>
        <w:t>第</w:t>
      </w:r>
      <w:r>
        <w:rPr>
          <w:rFonts w:hint="eastAsia" w:ascii="黑体" w:hAnsi="黑体" w:eastAsia="黑体"/>
          <w:sz w:val="32"/>
          <w:szCs w:val="32"/>
        </w:rPr>
        <w:t>四</w:t>
      </w:r>
      <w:r>
        <w:rPr>
          <w:rFonts w:ascii="黑体" w:hAnsi="黑体" w:eastAsia="黑体"/>
          <w:sz w:val="32"/>
          <w:szCs w:val="32"/>
        </w:rPr>
        <w:t>章</w:t>
      </w:r>
      <w:r>
        <w:rPr>
          <w:rFonts w:hint="eastAsia" w:ascii="黑体" w:hAnsi="黑体" w:eastAsia="黑体"/>
          <w:sz w:val="32"/>
          <w:szCs w:val="32"/>
        </w:rPr>
        <w:t xml:space="preserve">  绩效</w:t>
      </w:r>
      <w:r>
        <w:rPr>
          <w:rFonts w:ascii="黑体" w:hAnsi="黑体" w:eastAsia="黑体"/>
          <w:sz w:val="32"/>
          <w:szCs w:val="32"/>
        </w:rPr>
        <w:t>评价</w:t>
      </w:r>
      <w:r>
        <w:rPr>
          <w:rFonts w:hint="eastAsia" w:ascii="黑体" w:hAnsi="黑体" w:eastAsia="黑体"/>
          <w:sz w:val="32"/>
          <w:szCs w:val="32"/>
        </w:rPr>
        <w:t>与管理</w:t>
      </w:r>
    </w:p>
    <w:p w14:paraId="33D64520">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w:t>
      </w:r>
      <w:r>
        <w:rPr>
          <w:rFonts w:hint="eastAsia" w:ascii="仿宋_GB2312" w:hAnsi="仿宋" w:eastAsia="仿宋_GB2312"/>
          <w:b/>
          <w:sz w:val="32"/>
          <w:szCs w:val="32"/>
        </w:rPr>
        <w:t>十二</w:t>
      </w:r>
      <w:r>
        <w:rPr>
          <w:rFonts w:ascii="仿宋_GB2312" w:hAnsi="仿宋" w:eastAsia="仿宋_GB2312"/>
          <w:b/>
          <w:sz w:val="32"/>
          <w:szCs w:val="32"/>
        </w:rPr>
        <w:t>条</w:t>
      </w:r>
      <w:r>
        <w:rPr>
          <w:rFonts w:hint="eastAsia" w:ascii="仿宋_GB2312" w:hAnsi="仿宋" w:eastAsia="仿宋_GB2312"/>
          <w:b/>
          <w:sz w:val="32"/>
          <w:szCs w:val="32"/>
        </w:rPr>
        <w:t xml:space="preserve"> </w:t>
      </w:r>
      <w:r>
        <w:rPr>
          <w:rFonts w:ascii="仿宋_GB2312" w:hAnsi="仿宋" w:eastAsia="仿宋_GB2312"/>
          <w:sz w:val="32"/>
          <w:szCs w:val="32"/>
        </w:rPr>
        <w:t>自治区科技厅每年组织对</w:t>
      </w:r>
      <w:r>
        <w:rPr>
          <w:rFonts w:hint="eastAsia" w:ascii="仿宋_GB2312" w:hAnsi="仿宋" w:eastAsia="仿宋_GB2312"/>
          <w:sz w:val="32"/>
          <w:szCs w:val="32"/>
        </w:rPr>
        <w:t>自治区级技术转移</w:t>
      </w:r>
      <w:r>
        <w:rPr>
          <w:rFonts w:ascii="仿宋_GB2312" w:hAnsi="仿宋" w:eastAsia="仿宋_GB2312"/>
          <w:sz w:val="32"/>
          <w:szCs w:val="32"/>
        </w:rPr>
        <w:t>机构进行</w:t>
      </w:r>
      <w:r>
        <w:rPr>
          <w:rFonts w:hint="eastAsia" w:ascii="仿宋_GB2312" w:hAnsi="仿宋" w:eastAsia="仿宋_GB2312"/>
          <w:sz w:val="32"/>
          <w:szCs w:val="32"/>
        </w:rPr>
        <w:t>绩效</w:t>
      </w:r>
      <w:r>
        <w:rPr>
          <w:rFonts w:ascii="仿宋_GB2312" w:hAnsi="仿宋" w:eastAsia="仿宋_GB2312"/>
          <w:sz w:val="32"/>
          <w:szCs w:val="32"/>
        </w:rPr>
        <w:t>评价。依据《内蒙古自治区技术转移机构评价指标体系》，采取定性评价和定量评价相结合的办法进行。同一机构按照国家</w:t>
      </w:r>
      <w:r>
        <w:rPr>
          <w:rFonts w:hint="eastAsia" w:ascii="仿宋_GB2312" w:hAnsi="仿宋" w:eastAsia="仿宋_GB2312"/>
          <w:sz w:val="32"/>
          <w:szCs w:val="32"/>
        </w:rPr>
        <w:t>有关</w:t>
      </w:r>
      <w:r>
        <w:rPr>
          <w:rFonts w:ascii="仿宋_GB2312" w:hAnsi="仿宋" w:eastAsia="仿宋_GB2312"/>
          <w:sz w:val="32"/>
          <w:szCs w:val="32"/>
        </w:rPr>
        <w:t>标准开展不同类型业务取得的</w:t>
      </w:r>
      <w:r>
        <w:rPr>
          <w:rFonts w:hint="eastAsia" w:ascii="仿宋_GB2312" w:hAnsi="仿宋" w:eastAsia="仿宋_GB2312"/>
          <w:sz w:val="32"/>
          <w:szCs w:val="32"/>
        </w:rPr>
        <w:t>绩效</w:t>
      </w:r>
      <w:r>
        <w:rPr>
          <w:rFonts w:ascii="仿宋_GB2312" w:hAnsi="仿宋" w:eastAsia="仿宋_GB2312"/>
          <w:sz w:val="32"/>
          <w:szCs w:val="32"/>
        </w:rPr>
        <w:t>可累计计分。</w:t>
      </w:r>
    </w:p>
    <w:p w14:paraId="7D0C4314">
      <w:pPr>
        <w:widowControl/>
        <w:spacing w:line="640" w:lineRule="exact"/>
        <w:ind w:firstLine="643" w:firstLineChars="200"/>
        <w:rPr>
          <w:rFonts w:ascii="仿宋_GB2312" w:hAnsi="仿宋" w:eastAsia="仿宋_GB2312"/>
          <w:color w:val="FF0000"/>
          <w:sz w:val="32"/>
          <w:szCs w:val="32"/>
        </w:rPr>
      </w:pPr>
      <w:r>
        <w:rPr>
          <w:rFonts w:ascii="仿宋_GB2312" w:hAnsi="仿宋" w:eastAsia="仿宋_GB2312"/>
          <w:b/>
          <w:sz w:val="32"/>
          <w:szCs w:val="32"/>
        </w:rPr>
        <w:t>第</w:t>
      </w:r>
      <w:r>
        <w:rPr>
          <w:rFonts w:hint="eastAsia" w:ascii="仿宋_GB2312" w:hAnsi="仿宋" w:eastAsia="仿宋_GB2312"/>
          <w:b/>
          <w:sz w:val="32"/>
          <w:szCs w:val="32"/>
        </w:rPr>
        <w:t>十三</w:t>
      </w:r>
      <w:r>
        <w:rPr>
          <w:rFonts w:ascii="仿宋_GB2312" w:hAnsi="仿宋" w:eastAsia="仿宋_GB2312"/>
          <w:b/>
          <w:sz w:val="32"/>
          <w:szCs w:val="32"/>
        </w:rPr>
        <w:t>条</w:t>
      </w:r>
      <w:r>
        <w:rPr>
          <w:rFonts w:hint="eastAsia" w:ascii="仿宋_GB2312" w:hAnsi="仿宋" w:eastAsia="仿宋_GB2312"/>
          <w:b/>
          <w:sz w:val="32"/>
          <w:szCs w:val="32"/>
        </w:rPr>
        <w:t xml:space="preserve"> </w:t>
      </w:r>
      <w:r>
        <w:rPr>
          <w:rFonts w:ascii="仿宋_GB2312" w:hAnsi="仿宋" w:eastAsia="仿宋_GB2312"/>
          <w:sz w:val="32"/>
          <w:szCs w:val="32"/>
        </w:rPr>
        <w:t>按照</w:t>
      </w:r>
      <w:r>
        <w:rPr>
          <w:rFonts w:hint="eastAsia" w:ascii="仿宋_GB2312" w:hAnsi="仿宋" w:eastAsia="仿宋_GB2312"/>
          <w:sz w:val="32"/>
          <w:szCs w:val="32"/>
        </w:rPr>
        <w:t>绩效评价结果</w:t>
      </w:r>
      <w:r>
        <w:rPr>
          <w:rFonts w:ascii="仿宋_GB2312" w:hAnsi="仿宋" w:eastAsia="仿宋_GB2312"/>
          <w:sz w:val="32"/>
          <w:szCs w:val="32"/>
        </w:rPr>
        <w:t>施行动态管理。对</w:t>
      </w:r>
      <w:r>
        <w:rPr>
          <w:rFonts w:hint="eastAsia" w:ascii="仿宋_GB2312" w:hAnsi="仿宋" w:eastAsia="仿宋_GB2312"/>
          <w:sz w:val="32"/>
          <w:szCs w:val="32"/>
        </w:rPr>
        <w:t>绩效评价合格的自治区</w:t>
      </w:r>
      <w:r>
        <w:rPr>
          <w:rFonts w:ascii="仿宋_GB2312" w:hAnsi="仿宋" w:eastAsia="仿宋_GB2312"/>
          <w:sz w:val="32"/>
          <w:szCs w:val="32"/>
        </w:rPr>
        <w:t>级技术</w:t>
      </w:r>
      <w:r>
        <w:rPr>
          <w:rFonts w:hint="eastAsia" w:ascii="仿宋_GB2312" w:hAnsi="仿宋" w:eastAsia="仿宋_GB2312"/>
          <w:sz w:val="32"/>
          <w:szCs w:val="32"/>
        </w:rPr>
        <w:t>转移</w:t>
      </w:r>
      <w:r>
        <w:rPr>
          <w:rFonts w:ascii="仿宋_GB2312" w:hAnsi="仿宋" w:eastAsia="仿宋_GB2312"/>
          <w:sz w:val="32"/>
          <w:szCs w:val="32"/>
        </w:rPr>
        <w:t>机构</w:t>
      </w:r>
      <w:r>
        <w:rPr>
          <w:rFonts w:hint="eastAsia" w:ascii="仿宋_GB2312" w:hAnsi="仿宋" w:eastAsia="仿宋_GB2312"/>
          <w:sz w:val="32"/>
          <w:szCs w:val="32"/>
        </w:rPr>
        <w:t>，</w:t>
      </w:r>
      <w:r>
        <w:rPr>
          <w:rFonts w:ascii="仿宋_GB2312" w:hAnsi="仿宋" w:eastAsia="仿宋_GB2312"/>
          <w:sz w:val="32"/>
          <w:szCs w:val="32"/>
        </w:rPr>
        <w:t>按其促成技术</w:t>
      </w:r>
      <w:r>
        <w:rPr>
          <w:rFonts w:hint="eastAsia" w:ascii="仿宋_GB2312" w:hAnsi="仿宋" w:eastAsia="仿宋_GB2312"/>
          <w:sz w:val="32"/>
          <w:szCs w:val="32"/>
        </w:rPr>
        <w:t>合同登记</w:t>
      </w:r>
      <w:r>
        <w:rPr>
          <w:rFonts w:ascii="仿宋_GB2312" w:hAnsi="仿宋" w:eastAsia="仿宋_GB2312"/>
          <w:sz w:val="32"/>
          <w:szCs w:val="32"/>
        </w:rPr>
        <w:t>额的</w:t>
      </w: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计算排序</w:t>
      </w:r>
      <w:r>
        <w:rPr>
          <w:rFonts w:ascii="仿宋_GB2312" w:hAnsi="仿宋" w:eastAsia="仿宋_GB2312"/>
          <w:sz w:val="32"/>
          <w:szCs w:val="32"/>
        </w:rPr>
        <w:t>，择优给予支持，最高奖补50万元</w:t>
      </w:r>
      <w:r>
        <w:rPr>
          <w:rFonts w:hint="eastAsia" w:ascii="仿宋_GB2312" w:hAnsi="仿宋" w:eastAsia="仿宋_GB2312"/>
          <w:sz w:val="32"/>
          <w:szCs w:val="32"/>
        </w:rPr>
        <w:t>，</w:t>
      </w:r>
      <w:r>
        <w:rPr>
          <w:rFonts w:ascii="仿宋_GB2312" w:hAnsi="仿宋" w:eastAsia="仿宋_GB2312"/>
          <w:sz w:val="32"/>
          <w:szCs w:val="32"/>
        </w:rPr>
        <w:t>用于</w:t>
      </w:r>
      <w:r>
        <w:rPr>
          <w:rFonts w:hint="eastAsia" w:ascii="仿宋_GB2312" w:hAnsi="仿宋" w:eastAsia="仿宋_GB2312"/>
          <w:sz w:val="32"/>
          <w:szCs w:val="32"/>
        </w:rPr>
        <w:t>开展科技服务工作</w:t>
      </w:r>
      <w:r>
        <w:rPr>
          <w:rFonts w:ascii="仿宋_GB2312" w:hAnsi="仿宋" w:eastAsia="仿宋_GB2312"/>
          <w:sz w:val="32"/>
          <w:szCs w:val="32"/>
        </w:rPr>
        <w:t>。</w:t>
      </w:r>
      <w:r>
        <w:rPr>
          <w:rFonts w:hint="eastAsia" w:ascii="仿宋_GB2312" w:hAnsi="仿宋" w:eastAsia="仿宋_GB2312"/>
          <w:sz w:val="32"/>
          <w:szCs w:val="32"/>
        </w:rPr>
        <w:t>对绩效评价周期内首次评价不合格的自治区</w:t>
      </w:r>
      <w:r>
        <w:rPr>
          <w:rFonts w:ascii="仿宋_GB2312" w:hAnsi="仿宋" w:eastAsia="仿宋_GB2312"/>
          <w:sz w:val="32"/>
          <w:szCs w:val="32"/>
        </w:rPr>
        <w:t>级技术</w:t>
      </w:r>
      <w:r>
        <w:rPr>
          <w:rFonts w:hint="eastAsia" w:ascii="仿宋_GB2312" w:hAnsi="仿宋" w:eastAsia="仿宋_GB2312"/>
          <w:sz w:val="32"/>
          <w:szCs w:val="32"/>
        </w:rPr>
        <w:t>转移</w:t>
      </w:r>
      <w:r>
        <w:rPr>
          <w:rFonts w:ascii="仿宋_GB2312" w:hAnsi="仿宋" w:eastAsia="仿宋_GB2312"/>
          <w:sz w:val="32"/>
          <w:szCs w:val="32"/>
        </w:rPr>
        <w:t>机构</w:t>
      </w:r>
      <w:r>
        <w:rPr>
          <w:rFonts w:hint="eastAsia" w:ascii="仿宋_GB2312" w:hAnsi="仿宋" w:eastAsia="仿宋_GB2312"/>
          <w:sz w:val="32"/>
          <w:szCs w:val="32"/>
        </w:rPr>
        <w:t>限期一年整改。</w:t>
      </w:r>
    </w:p>
    <w:p w14:paraId="7F0418F2">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第十</w:t>
      </w:r>
      <w:r>
        <w:rPr>
          <w:rFonts w:hint="eastAsia" w:ascii="仿宋_GB2312" w:hAnsi="仿宋" w:eastAsia="仿宋_GB2312"/>
          <w:b/>
          <w:sz w:val="32"/>
          <w:szCs w:val="32"/>
        </w:rPr>
        <w:t>四</w:t>
      </w:r>
      <w:r>
        <w:rPr>
          <w:rFonts w:ascii="仿宋_GB2312" w:hAnsi="仿宋" w:eastAsia="仿宋_GB2312"/>
          <w:b/>
          <w:sz w:val="32"/>
          <w:szCs w:val="32"/>
        </w:rPr>
        <w:t>条</w:t>
      </w:r>
      <w:r>
        <w:rPr>
          <w:rFonts w:hint="eastAsia" w:ascii="仿宋_GB2312" w:hAnsi="仿宋" w:eastAsia="仿宋_GB2312"/>
          <w:b/>
          <w:sz w:val="32"/>
          <w:szCs w:val="32"/>
        </w:rPr>
        <w:t xml:space="preserve"> </w:t>
      </w:r>
      <w:r>
        <w:rPr>
          <w:rFonts w:ascii="仿宋_GB2312" w:hAnsi="仿宋" w:eastAsia="仿宋_GB2312"/>
          <w:sz w:val="32"/>
          <w:szCs w:val="32"/>
        </w:rPr>
        <w:t>自治区级技术转移机构实行年度报告制度。年度报告的数据统计周期为上年度11月1日至当年10月31日。自治区级技术转移机构应于每年11月15日前</w:t>
      </w:r>
      <w:r>
        <w:rPr>
          <w:rFonts w:hint="eastAsia" w:ascii="仿宋_GB2312" w:hAnsi="仿宋" w:eastAsia="仿宋_GB2312"/>
          <w:sz w:val="32"/>
          <w:szCs w:val="32"/>
        </w:rPr>
        <w:t>报送</w:t>
      </w:r>
      <w:r>
        <w:rPr>
          <w:rFonts w:ascii="仿宋_GB2312" w:hAnsi="仿宋" w:eastAsia="仿宋_GB2312"/>
          <w:sz w:val="32"/>
          <w:szCs w:val="32"/>
        </w:rPr>
        <w:t>《年度绩效报告表》，对相关信息和工作成效进行报告，经归口管理</w:t>
      </w:r>
      <w:r>
        <w:rPr>
          <w:rFonts w:hint="eastAsia" w:ascii="仿宋_GB2312" w:hAnsi="仿宋" w:eastAsia="仿宋_GB2312"/>
          <w:sz w:val="32"/>
          <w:szCs w:val="32"/>
        </w:rPr>
        <w:t>部门</w:t>
      </w:r>
      <w:r>
        <w:rPr>
          <w:rFonts w:ascii="仿宋_GB2312" w:hAnsi="仿宋" w:eastAsia="仿宋_GB2312"/>
          <w:sz w:val="32"/>
          <w:szCs w:val="32"/>
        </w:rPr>
        <w:t>审核后提交自治区科技厅。</w:t>
      </w:r>
    </w:p>
    <w:p w14:paraId="5E7F13AE">
      <w:pPr>
        <w:widowControl/>
        <w:spacing w:line="64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第十五条</w:t>
      </w:r>
      <w:r>
        <w:rPr>
          <w:rFonts w:ascii="仿宋_GB2312" w:hAnsi="仿宋" w:eastAsia="仿宋_GB2312"/>
          <w:sz w:val="32"/>
          <w:szCs w:val="32"/>
        </w:rPr>
        <w:t xml:space="preserve"> 已备案的</w:t>
      </w:r>
      <w:r>
        <w:rPr>
          <w:rFonts w:hint="eastAsia" w:ascii="仿宋_GB2312" w:hAnsi="仿宋" w:eastAsia="仿宋_GB2312"/>
          <w:sz w:val="32"/>
          <w:szCs w:val="32"/>
        </w:rPr>
        <w:t>自治区</w:t>
      </w:r>
      <w:r>
        <w:rPr>
          <w:rFonts w:ascii="仿宋_GB2312" w:hAnsi="仿宋" w:eastAsia="仿宋_GB2312"/>
          <w:sz w:val="32"/>
          <w:szCs w:val="32"/>
        </w:rPr>
        <w:t>级技术转移机构，有下述情形之一的，取消资格，且自取消之日起两年内不得重新申请：</w:t>
      </w:r>
    </w:p>
    <w:p w14:paraId="75421AC1">
      <w:pPr>
        <w:widowControl/>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（一）未按要求报送年度评估材料的；</w:t>
      </w:r>
    </w:p>
    <w:p w14:paraId="138EA84B">
      <w:pPr>
        <w:widowControl/>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（二）备案信息及佐证材料存在弄虚作假的；</w:t>
      </w:r>
    </w:p>
    <w:p w14:paraId="26C28323">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（三）有违法、违规行为或发生重大安全、生态环保事故、质量事故，受到有关部门处罚的；</w:t>
      </w:r>
    </w:p>
    <w:p w14:paraId="29DC0C5C">
      <w:pPr>
        <w:widowControl/>
        <w:spacing w:line="640" w:lineRule="exact"/>
        <w:ind w:firstLine="640" w:firstLineChars="200"/>
        <w:rPr>
          <w:rFonts w:ascii="仿宋_GB2312" w:hAnsi="仿宋" w:eastAsia="仿宋_GB2312"/>
          <w:sz w:val="32"/>
          <w:szCs w:val="32"/>
        </w:rPr>
      </w:pPr>
      <w:r>
        <w:rPr>
          <w:rFonts w:ascii="仿宋_GB2312" w:hAnsi="仿宋" w:eastAsia="仿宋_GB2312"/>
          <w:sz w:val="32"/>
          <w:szCs w:val="32"/>
        </w:rPr>
        <w:t>（</w:t>
      </w:r>
      <w:r>
        <w:rPr>
          <w:rFonts w:hint="eastAsia" w:ascii="仿宋_GB2312" w:hAnsi="仿宋" w:eastAsia="仿宋_GB2312"/>
          <w:sz w:val="32"/>
          <w:szCs w:val="32"/>
        </w:rPr>
        <w:t>四</w:t>
      </w:r>
      <w:r>
        <w:rPr>
          <w:rFonts w:ascii="仿宋_GB2312" w:hAnsi="仿宋" w:eastAsia="仿宋_GB2312"/>
          <w:sz w:val="32"/>
          <w:szCs w:val="32"/>
        </w:rPr>
        <w:t>）</w:t>
      </w:r>
      <w:r>
        <w:rPr>
          <w:rFonts w:hint="eastAsia" w:ascii="仿宋_GB2312" w:hAnsi="仿宋" w:eastAsia="仿宋_GB2312"/>
          <w:sz w:val="32"/>
          <w:szCs w:val="32"/>
        </w:rPr>
        <w:t>年度未达到本办法第九条第4款规定要求的；</w:t>
      </w:r>
    </w:p>
    <w:p w14:paraId="045B9FB9">
      <w:pPr>
        <w:widowControl/>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（五</w:t>
      </w:r>
      <w:r>
        <w:rPr>
          <w:rFonts w:ascii="仿宋_GB2312" w:hAnsi="仿宋" w:eastAsia="仿宋_GB2312"/>
          <w:sz w:val="32"/>
          <w:szCs w:val="32"/>
        </w:rPr>
        <w:t>）</w:t>
      </w:r>
      <w:r>
        <w:rPr>
          <w:rFonts w:hint="eastAsia" w:ascii="仿宋_GB2312" w:hAnsi="仿宋" w:eastAsia="仿宋_GB2312"/>
          <w:sz w:val="32"/>
          <w:szCs w:val="32"/>
        </w:rPr>
        <w:t>整改期满仍未达到合格等级的；</w:t>
      </w:r>
    </w:p>
    <w:p w14:paraId="24B1750A">
      <w:pPr>
        <w:widowControl/>
        <w:spacing w:line="640" w:lineRule="exact"/>
        <w:ind w:firstLine="640" w:firstLineChars="200"/>
        <w:rPr>
          <w:rFonts w:ascii="仿宋_GB2312" w:hAnsi="仿宋" w:eastAsia="仿宋_GB2312"/>
          <w:sz w:val="32"/>
          <w:szCs w:val="32"/>
        </w:rPr>
      </w:pPr>
      <w:r>
        <w:rPr>
          <w:rFonts w:hint="eastAsia" w:ascii="仿宋_GB2312" w:hAnsi="仿宋" w:eastAsia="仿宋_GB2312"/>
          <w:sz w:val="32"/>
          <w:szCs w:val="32"/>
        </w:rPr>
        <w:t>（六）</w:t>
      </w:r>
      <w:r>
        <w:rPr>
          <w:rFonts w:ascii="仿宋_GB2312" w:hAnsi="仿宋" w:eastAsia="仿宋_GB2312"/>
          <w:sz w:val="32"/>
          <w:szCs w:val="32"/>
        </w:rPr>
        <w:t>主动申请撤销备案等其他情形的。</w:t>
      </w:r>
    </w:p>
    <w:p w14:paraId="68755AF9">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第十</w:t>
      </w:r>
      <w:r>
        <w:rPr>
          <w:rFonts w:hint="eastAsia" w:ascii="仿宋_GB2312" w:hAnsi="仿宋" w:eastAsia="仿宋_GB2312"/>
          <w:b/>
          <w:sz w:val="32"/>
          <w:szCs w:val="32"/>
        </w:rPr>
        <w:t xml:space="preserve">六条 </w:t>
      </w:r>
      <w:r>
        <w:rPr>
          <w:rFonts w:ascii="仿宋_GB2312" w:hAnsi="仿宋" w:eastAsia="仿宋_GB2312"/>
          <w:sz w:val="32"/>
          <w:szCs w:val="32"/>
        </w:rPr>
        <w:t>自治区级技术转移机构发生更名或相关信息变更的，应在30</w:t>
      </w:r>
      <w:r>
        <w:rPr>
          <w:rFonts w:hint="eastAsia" w:ascii="仿宋_GB2312" w:hAnsi="仿宋" w:eastAsia="仿宋_GB2312"/>
          <w:sz w:val="32"/>
          <w:szCs w:val="32"/>
        </w:rPr>
        <w:t>日</w:t>
      </w:r>
      <w:r>
        <w:rPr>
          <w:rFonts w:ascii="仿宋_GB2312" w:hAnsi="仿宋" w:eastAsia="仿宋_GB2312"/>
          <w:sz w:val="32"/>
          <w:szCs w:val="32"/>
        </w:rPr>
        <w:t>内经归口管理</w:t>
      </w:r>
      <w:r>
        <w:rPr>
          <w:rFonts w:hint="eastAsia" w:ascii="仿宋_GB2312" w:hAnsi="仿宋" w:eastAsia="仿宋_GB2312"/>
          <w:sz w:val="32"/>
          <w:szCs w:val="32"/>
        </w:rPr>
        <w:t>部门</w:t>
      </w:r>
      <w:r>
        <w:rPr>
          <w:rFonts w:ascii="仿宋_GB2312" w:hAnsi="仿宋" w:eastAsia="仿宋_GB2312"/>
          <w:sz w:val="32"/>
          <w:szCs w:val="32"/>
        </w:rPr>
        <w:t>审核后，提交自治区科技厅备案。</w:t>
      </w:r>
    </w:p>
    <w:p w14:paraId="6B480E20">
      <w:pPr>
        <w:widowControl/>
        <w:spacing w:before="156" w:beforeLines="50" w:after="156" w:afterLines="50" w:line="640" w:lineRule="exact"/>
        <w:jc w:val="center"/>
        <w:rPr>
          <w:rFonts w:ascii="黑体" w:hAnsi="黑体" w:eastAsia="黑体"/>
          <w:sz w:val="32"/>
          <w:szCs w:val="32"/>
        </w:rPr>
      </w:pPr>
      <w:r>
        <w:rPr>
          <w:rFonts w:hint="eastAsia" w:ascii="黑体" w:hAnsi="黑体" w:eastAsia="黑体"/>
          <w:sz w:val="32"/>
          <w:szCs w:val="32"/>
        </w:rPr>
        <w:t xml:space="preserve">第五章  </w:t>
      </w:r>
      <w:r>
        <w:rPr>
          <w:rFonts w:ascii="黑体" w:hAnsi="黑体" w:eastAsia="黑体"/>
          <w:sz w:val="32"/>
          <w:szCs w:val="32"/>
        </w:rPr>
        <w:t>附则</w:t>
      </w:r>
    </w:p>
    <w:p w14:paraId="3095D44C">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第十</w:t>
      </w:r>
      <w:r>
        <w:rPr>
          <w:rFonts w:hint="eastAsia" w:ascii="仿宋_GB2312" w:hAnsi="仿宋" w:eastAsia="仿宋_GB2312"/>
          <w:b/>
          <w:sz w:val="32"/>
          <w:szCs w:val="32"/>
        </w:rPr>
        <w:t>七</w:t>
      </w:r>
      <w:r>
        <w:rPr>
          <w:rFonts w:ascii="仿宋_GB2312" w:hAnsi="仿宋" w:eastAsia="仿宋_GB2312"/>
          <w:b/>
          <w:sz w:val="32"/>
          <w:szCs w:val="32"/>
        </w:rPr>
        <w:t>条</w:t>
      </w:r>
      <w:r>
        <w:rPr>
          <w:rFonts w:ascii="仿宋_GB2312" w:hAnsi="仿宋" w:eastAsia="仿宋_GB2312"/>
          <w:sz w:val="32"/>
          <w:szCs w:val="32"/>
        </w:rPr>
        <w:t xml:space="preserve"> 自治区科技厅将根据国家</w:t>
      </w:r>
      <w:r>
        <w:rPr>
          <w:rFonts w:hint="eastAsia" w:ascii="仿宋_GB2312" w:hAnsi="仿宋" w:eastAsia="仿宋_GB2312"/>
          <w:sz w:val="32"/>
          <w:szCs w:val="32"/>
        </w:rPr>
        <w:t>、</w:t>
      </w:r>
      <w:r>
        <w:rPr>
          <w:rFonts w:ascii="仿宋_GB2312" w:hAnsi="仿宋" w:eastAsia="仿宋_GB2312"/>
          <w:sz w:val="32"/>
          <w:szCs w:val="32"/>
        </w:rPr>
        <w:t>自治区技术转移机构发展实际，适时调整相关政策及备案指标。</w:t>
      </w:r>
    </w:p>
    <w:p w14:paraId="2E266A94">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w:t>
      </w:r>
      <w:r>
        <w:rPr>
          <w:rFonts w:hint="eastAsia" w:ascii="仿宋_GB2312" w:hAnsi="仿宋" w:eastAsia="仿宋_GB2312"/>
          <w:b/>
          <w:sz w:val="32"/>
          <w:szCs w:val="32"/>
        </w:rPr>
        <w:t>十八</w:t>
      </w:r>
      <w:r>
        <w:rPr>
          <w:rFonts w:ascii="仿宋_GB2312" w:hAnsi="仿宋" w:eastAsia="仿宋_GB2312"/>
          <w:b/>
          <w:sz w:val="32"/>
          <w:szCs w:val="32"/>
        </w:rPr>
        <w:t>条</w:t>
      </w:r>
      <w:r>
        <w:rPr>
          <w:rFonts w:ascii="仿宋_GB2312" w:hAnsi="仿宋" w:eastAsia="仿宋_GB2312"/>
          <w:sz w:val="32"/>
          <w:szCs w:val="32"/>
        </w:rPr>
        <w:t xml:space="preserve"> 本办法印发前已备案的自治区级技术转移机构按本办法管理。</w:t>
      </w:r>
    </w:p>
    <w:p w14:paraId="651F7806">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w:t>
      </w:r>
      <w:r>
        <w:rPr>
          <w:rFonts w:hint="eastAsia" w:ascii="仿宋_GB2312" w:hAnsi="仿宋" w:eastAsia="仿宋_GB2312"/>
          <w:b/>
          <w:sz w:val="32"/>
          <w:szCs w:val="32"/>
        </w:rPr>
        <w:t>十九</w:t>
      </w:r>
      <w:r>
        <w:rPr>
          <w:rFonts w:ascii="仿宋_GB2312" w:hAnsi="仿宋" w:eastAsia="仿宋_GB2312"/>
          <w:b/>
          <w:sz w:val="32"/>
          <w:szCs w:val="32"/>
        </w:rPr>
        <w:t>条</w:t>
      </w:r>
      <w:r>
        <w:rPr>
          <w:rFonts w:ascii="仿宋_GB2312" w:hAnsi="仿宋" w:eastAsia="仿宋_GB2312"/>
          <w:sz w:val="32"/>
          <w:szCs w:val="32"/>
        </w:rPr>
        <w:t xml:space="preserve"> 本办法由自治区科技厅负责解释。</w:t>
      </w:r>
    </w:p>
    <w:p w14:paraId="20E2CFEE">
      <w:pPr>
        <w:widowControl/>
        <w:spacing w:line="640" w:lineRule="exact"/>
        <w:ind w:firstLine="643" w:firstLineChars="200"/>
        <w:rPr>
          <w:rFonts w:ascii="仿宋_GB2312" w:hAnsi="仿宋" w:eastAsia="仿宋_GB2312"/>
          <w:sz w:val="32"/>
          <w:szCs w:val="32"/>
        </w:rPr>
      </w:pPr>
      <w:r>
        <w:rPr>
          <w:rFonts w:ascii="仿宋_GB2312" w:hAnsi="仿宋" w:eastAsia="仿宋_GB2312"/>
          <w:b/>
          <w:sz w:val="32"/>
          <w:szCs w:val="32"/>
        </w:rPr>
        <w:t>第</w:t>
      </w:r>
      <w:r>
        <w:rPr>
          <w:rFonts w:hint="eastAsia" w:ascii="仿宋_GB2312" w:hAnsi="仿宋" w:eastAsia="仿宋_GB2312"/>
          <w:b/>
          <w:sz w:val="32"/>
          <w:szCs w:val="32"/>
        </w:rPr>
        <w:t>二十</w:t>
      </w:r>
      <w:r>
        <w:rPr>
          <w:rFonts w:ascii="仿宋_GB2312" w:hAnsi="仿宋" w:eastAsia="仿宋_GB2312"/>
          <w:b/>
          <w:sz w:val="32"/>
          <w:szCs w:val="32"/>
        </w:rPr>
        <w:t>条</w:t>
      </w:r>
      <w:r>
        <w:rPr>
          <w:rFonts w:ascii="仿宋_GB2312" w:hAnsi="仿宋" w:eastAsia="仿宋_GB2312"/>
          <w:sz w:val="32"/>
          <w:szCs w:val="32"/>
        </w:rPr>
        <w:t xml:space="preserve"> 本办法自印发之日起施行。《</w:t>
      </w:r>
      <w:r>
        <w:rPr>
          <w:rFonts w:hint="eastAsia" w:ascii="仿宋_GB2312" w:hAnsi="仿宋" w:eastAsia="仿宋_GB2312"/>
          <w:sz w:val="32"/>
          <w:szCs w:val="32"/>
        </w:rPr>
        <w:t>内蒙古自治区技术转移服务机构管理办法</w:t>
      </w:r>
      <w:r>
        <w:rPr>
          <w:rFonts w:ascii="仿宋_GB2312" w:hAnsi="仿宋" w:eastAsia="仿宋_GB2312"/>
          <w:sz w:val="32"/>
          <w:szCs w:val="32"/>
        </w:rPr>
        <w:t>》（</w:t>
      </w:r>
      <w:r>
        <w:rPr>
          <w:rFonts w:hint="eastAsia" w:ascii="仿宋_GB2312" w:hAnsi="仿宋" w:eastAsia="仿宋_GB2312"/>
          <w:sz w:val="32"/>
          <w:szCs w:val="32"/>
        </w:rPr>
        <w:t>内科成字</w:t>
      </w:r>
      <w:r>
        <w:rPr>
          <w:rFonts w:ascii="仿宋_GB2312" w:hAnsi="仿宋" w:eastAsia="仿宋_GB2312"/>
          <w:sz w:val="32"/>
          <w:szCs w:val="32"/>
        </w:rPr>
        <w:t>〔2024〕</w:t>
      </w:r>
      <w:r>
        <w:rPr>
          <w:rFonts w:hint="eastAsia" w:ascii="仿宋_GB2312" w:hAnsi="仿宋" w:eastAsia="仿宋_GB2312"/>
          <w:sz w:val="32"/>
          <w:szCs w:val="32"/>
        </w:rPr>
        <w:t>8</w:t>
      </w:r>
      <w:r>
        <w:rPr>
          <w:rFonts w:ascii="仿宋_GB2312" w:hAnsi="仿宋" w:eastAsia="仿宋_GB2312"/>
          <w:sz w:val="32"/>
          <w:szCs w:val="32"/>
        </w:rPr>
        <w:t>1号）同时废止。</w:t>
      </w:r>
    </w:p>
    <w:p w14:paraId="02868515">
      <w:pPr>
        <w:widowControl/>
        <w:jc w:val="left"/>
        <w:rPr>
          <w:rFonts w:ascii="仿宋_GB2312" w:hAnsi="仿宋" w:eastAsia="仿宋_GB2312"/>
          <w:sz w:val="32"/>
          <w:szCs w:val="32"/>
        </w:rPr>
      </w:pPr>
      <w:r>
        <w:rPr>
          <w:rFonts w:ascii="仿宋_GB2312" w:hAnsi="仿宋" w:eastAsia="仿宋_GB2312"/>
          <w:sz w:val="32"/>
          <w:szCs w:val="32"/>
        </w:rPr>
        <w:br w:type="page"/>
      </w:r>
    </w:p>
    <w:p w14:paraId="44C04ED3">
      <w:pPr>
        <w:spacing w:line="560" w:lineRule="exact"/>
        <w:jc w:val="left"/>
        <w:rPr>
          <w:rFonts w:ascii="黑体" w:hAnsi="黑体" w:eastAsia="黑体" w:cs="黑体"/>
          <w:sz w:val="32"/>
          <w:szCs w:val="32"/>
        </w:rPr>
      </w:pPr>
      <w:r>
        <w:rPr>
          <w:rFonts w:hint="eastAsia" w:ascii="黑体" w:hAnsi="黑体" w:eastAsia="黑体" w:cs="黑体"/>
          <w:sz w:val="32"/>
          <w:szCs w:val="32"/>
        </w:rPr>
        <w:t>附件</w:t>
      </w:r>
    </w:p>
    <w:p w14:paraId="6EDBD154">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内蒙古自治区技术转移机构评价指标体系</w:t>
      </w:r>
    </w:p>
    <w:p w14:paraId="6AD8653C">
      <w:pPr>
        <w:spacing w:line="560" w:lineRule="exact"/>
        <w:ind w:firstLine="420" w:firstLineChars="200"/>
        <w:rPr>
          <w:rFonts w:ascii="楷体_GB2312" w:hAnsi="仿宋" w:eastAsia="楷体_GB2312"/>
          <w:b/>
          <w:sz w:val="28"/>
          <w:szCs w:val="28"/>
        </w:rPr>
      </w:pPr>
      <w:r>
        <w:rPr>
          <w:rFonts w:hint="eastAsia" w:ascii="宋体" w:hAnsi="宋体"/>
          <w:b/>
          <w:szCs w:val="21"/>
        </w:rPr>
        <w:t xml:space="preserve">                            </w:t>
      </w:r>
    </w:p>
    <w:p w14:paraId="22EE155B">
      <w:pPr>
        <w:spacing w:line="560" w:lineRule="exact"/>
        <w:rPr>
          <w:rFonts w:ascii="宋体" w:hAnsi="宋体"/>
          <w:b/>
          <w:szCs w:val="21"/>
        </w:rPr>
      </w:pPr>
      <w:r>
        <w:rPr>
          <w:rFonts w:hint="eastAsia" w:ascii="宋体" w:hAnsi="宋体"/>
          <w:b/>
          <w:szCs w:val="21"/>
        </w:rPr>
        <w:t>（一）</w:t>
      </w:r>
      <w:r>
        <w:rPr>
          <w:rFonts w:ascii="宋体" w:hAnsi="宋体"/>
          <w:b/>
          <w:szCs w:val="21"/>
        </w:rPr>
        <w:t>基础</w:t>
      </w:r>
      <w:r>
        <w:rPr>
          <w:rFonts w:hint="eastAsia" w:ascii="宋体" w:hAnsi="宋体"/>
          <w:b/>
          <w:szCs w:val="21"/>
        </w:rPr>
        <w:t>指标：</w:t>
      </w:r>
    </w:p>
    <w:tbl>
      <w:tblPr>
        <w:tblStyle w:val="9"/>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3"/>
        <w:gridCol w:w="4116"/>
        <w:gridCol w:w="1559"/>
        <w:gridCol w:w="851"/>
      </w:tblGrid>
      <w:tr w14:paraId="65E6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37" w:type="dxa"/>
            <w:gridSpan w:val="2"/>
            <w:tcMar>
              <w:top w:w="0" w:type="dxa"/>
              <w:left w:w="0" w:type="dxa"/>
              <w:bottom w:w="0" w:type="dxa"/>
              <w:right w:w="0" w:type="dxa"/>
            </w:tcMar>
            <w:vAlign w:val="center"/>
          </w:tcPr>
          <w:p w14:paraId="7B03D4BA">
            <w:pPr>
              <w:autoSpaceDN w:val="0"/>
              <w:jc w:val="center"/>
              <w:rPr>
                <w:rFonts w:ascii="宋体" w:hAnsi="宋体"/>
                <w:b/>
                <w:szCs w:val="21"/>
              </w:rPr>
            </w:pPr>
            <w:r>
              <w:rPr>
                <w:rFonts w:ascii="宋体" w:hAnsi="宋体"/>
                <w:b/>
                <w:szCs w:val="21"/>
              </w:rPr>
              <w:t>一级指标</w:t>
            </w:r>
          </w:p>
        </w:tc>
        <w:tc>
          <w:tcPr>
            <w:tcW w:w="5675" w:type="dxa"/>
            <w:gridSpan w:val="2"/>
            <w:tcMar>
              <w:top w:w="0" w:type="dxa"/>
              <w:left w:w="0" w:type="dxa"/>
              <w:bottom w:w="0" w:type="dxa"/>
              <w:right w:w="0" w:type="dxa"/>
            </w:tcMar>
            <w:vAlign w:val="center"/>
          </w:tcPr>
          <w:p w14:paraId="63DAA163">
            <w:pPr>
              <w:autoSpaceDN w:val="0"/>
              <w:jc w:val="center"/>
              <w:rPr>
                <w:rFonts w:ascii="宋体" w:hAnsi="宋体"/>
                <w:b/>
                <w:szCs w:val="21"/>
              </w:rPr>
            </w:pPr>
            <w:r>
              <w:rPr>
                <w:rFonts w:ascii="宋体" w:hAnsi="宋体"/>
                <w:b/>
                <w:szCs w:val="21"/>
              </w:rPr>
              <w:t>二级指标</w:t>
            </w:r>
          </w:p>
        </w:tc>
        <w:tc>
          <w:tcPr>
            <w:tcW w:w="851" w:type="dxa"/>
            <w:vMerge w:val="restart"/>
            <w:tcMar>
              <w:top w:w="0" w:type="dxa"/>
              <w:left w:w="0" w:type="dxa"/>
              <w:bottom w:w="0" w:type="dxa"/>
              <w:right w:w="0" w:type="dxa"/>
            </w:tcMar>
            <w:vAlign w:val="center"/>
          </w:tcPr>
          <w:p w14:paraId="738A0A07">
            <w:pPr>
              <w:autoSpaceDN w:val="0"/>
              <w:jc w:val="center"/>
              <w:rPr>
                <w:rFonts w:ascii="宋体" w:hAnsi="宋体"/>
                <w:b/>
                <w:szCs w:val="21"/>
              </w:rPr>
            </w:pPr>
            <w:r>
              <w:rPr>
                <w:rFonts w:hint="eastAsia" w:ascii="宋体" w:hAnsi="宋体"/>
                <w:b/>
                <w:szCs w:val="21"/>
              </w:rPr>
              <w:t>变换</w:t>
            </w:r>
            <w:r>
              <w:rPr>
                <w:rFonts w:ascii="宋体" w:hAnsi="宋体"/>
                <w:b/>
                <w:szCs w:val="21"/>
              </w:rPr>
              <w:t>值</w:t>
            </w:r>
            <w:r>
              <w:rPr>
                <w:rFonts w:hint="eastAsia" w:ascii="宋体" w:hAnsi="宋体"/>
                <w:b/>
                <w:szCs w:val="21"/>
              </w:rPr>
              <w:t>（K</w:t>
            </w:r>
            <w:r>
              <w:rPr>
                <w:rFonts w:ascii="宋体" w:hAnsi="宋体"/>
                <w:b/>
                <w:szCs w:val="21"/>
              </w:rPr>
              <w:t>i）</w:t>
            </w:r>
          </w:p>
        </w:tc>
      </w:tr>
      <w:tr w14:paraId="6276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Mar>
              <w:top w:w="0" w:type="dxa"/>
              <w:left w:w="0" w:type="dxa"/>
              <w:bottom w:w="0" w:type="dxa"/>
              <w:right w:w="0" w:type="dxa"/>
            </w:tcMar>
            <w:vAlign w:val="center"/>
          </w:tcPr>
          <w:p w14:paraId="48679F5D">
            <w:pPr>
              <w:autoSpaceDN w:val="0"/>
              <w:jc w:val="center"/>
              <w:rPr>
                <w:rFonts w:ascii="宋体" w:hAnsi="宋体"/>
                <w:b/>
                <w:bCs/>
                <w:szCs w:val="21"/>
              </w:rPr>
            </w:pPr>
            <w:r>
              <w:rPr>
                <w:rFonts w:ascii="宋体" w:hAnsi="宋体"/>
                <w:b/>
                <w:bCs/>
                <w:szCs w:val="21"/>
              </w:rPr>
              <w:t>名称</w:t>
            </w:r>
          </w:p>
        </w:tc>
        <w:tc>
          <w:tcPr>
            <w:tcW w:w="703" w:type="dxa"/>
            <w:tcMar>
              <w:top w:w="0" w:type="dxa"/>
              <w:left w:w="0" w:type="dxa"/>
              <w:bottom w:w="0" w:type="dxa"/>
              <w:right w:w="0" w:type="dxa"/>
            </w:tcMar>
            <w:vAlign w:val="center"/>
          </w:tcPr>
          <w:p w14:paraId="24DE5898">
            <w:pPr>
              <w:autoSpaceDN w:val="0"/>
              <w:jc w:val="center"/>
              <w:rPr>
                <w:rFonts w:ascii="宋体" w:hAnsi="宋体"/>
                <w:b/>
                <w:bCs/>
                <w:szCs w:val="21"/>
              </w:rPr>
            </w:pPr>
            <w:r>
              <w:rPr>
                <w:rFonts w:hint="eastAsia" w:ascii="宋体" w:hAnsi="宋体"/>
                <w:b/>
                <w:bCs/>
                <w:szCs w:val="21"/>
              </w:rPr>
              <w:t>分值（Mi）</w:t>
            </w:r>
          </w:p>
        </w:tc>
        <w:tc>
          <w:tcPr>
            <w:tcW w:w="4116" w:type="dxa"/>
            <w:tcMar>
              <w:top w:w="0" w:type="dxa"/>
              <w:left w:w="0" w:type="dxa"/>
              <w:bottom w:w="0" w:type="dxa"/>
              <w:right w:w="0" w:type="dxa"/>
            </w:tcMar>
            <w:vAlign w:val="center"/>
          </w:tcPr>
          <w:p w14:paraId="29E8A206">
            <w:pPr>
              <w:autoSpaceDN w:val="0"/>
              <w:jc w:val="center"/>
              <w:rPr>
                <w:rFonts w:ascii="宋体" w:hAnsi="宋体"/>
                <w:b/>
                <w:bCs/>
                <w:szCs w:val="21"/>
              </w:rPr>
            </w:pPr>
            <w:r>
              <w:rPr>
                <w:rFonts w:ascii="宋体" w:hAnsi="宋体"/>
                <w:b/>
                <w:bCs/>
                <w:szCs w:val="21"/>
              </w:rPr>
              <w:t>名称</w:t>
            </w:r>
          </w:p>
        </w:tc>
        <w:tc>
          <w:tcPr>
            <w:tcW w:w="1559" w:type="dxa"/>
            <w:tcMar>
              <w:top w:w="0" w:type="dxa"/>
              <w:left w:w="0" w:type="dxa"/>
              <w:bottom w:w="0" w:type="dxa"/>
              <w:right w:w="0" w:type="dxa"/>
            </w:tcMar>
            <w:vAlign w:val="center"/>
          </w:tcPr>
          <w:p w14:paraId="7B79E224">
            <w:pPr>
              <w:autoSpaceDN w:val="0"/>
              <w:adjustRightInd w:val="0"/>
              <w:snapToGrid w:val="0"/>
              <w:jc w:val="center"/>
              <w:rPr>
                <w:rFonts w:ascii="宋体" w:hAnsi="宋体"/>
                <w:b/>
                <w:bCs/>
                <w:szCs w:val="21"/>
              </w:rPr>
            </w:pPr>
            <w:r>
              <w:rPr>
                <w:rFonts w:hint="eastAsia" w:ascii="宋体" w:hAnsi="宋体"/>
                <w:b/>
                <w:bCs/>
                <w:szCs w:val="21"/>
              </w:rPr>
              <w:t>取值范围（N</w:t>
            </w:r>
            <w:r>
              <w:rPr>
                <w:rFonts w:ascii="宋体" w:hAnsi="宋体"/>
                <w:b/>
                <w:bCs/>
                <w:szCs w:val="21"/>
              </w:rPr>
              <w:t>i）</w:t>
            </w:r>
          </w:p>
        </w:tc>
        <w:tc>
          <w:tcPr>
            <w:tcW w:w="851" w:type="dxa"/>
            <w:vMerge w:val="continue"/>
            <w:tcMar>
              <w:top w:w="0" w:type="dxa"/>
              <w:left w:w="0" w:type="dxa"/>
              <w:bottom w:w="0" w:type="dxa"/>
              <w:right w:w="0" w:type="dxa"/>
            </w:tcMar>
            <w:vAlign w:val="center"/>
          </w:tcPr>
          <w:p w14:paraId="59C2DBF3">
            <w:pPr>
              <w:autoSpaceDN w:val="0"/>
              <w:adjustRightInd w:val="0"/>
              <w:snapToGrid w:val="0"/>
              <w:jc w:val="center"/>
              <w:rPr>
                <w:rFonts w:ascii="宋体" w:hAnsi="宋体"/>
                <w:b/>
                <w:bCs/>
                <w:szCs w:val="21"/>
              </w:rPr>
            </w:pPr>
          </w:p>
        </w:tc>
      </w:tr>
      <w:tr w14:paraId="37CB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70CA17ED">
            <w:pPr>
              <w:jc w:val="center"/>
              <w:rPr>
                <w:rFonts w:ascii="宋体" w:hAnsi="宋体"/>
                <w:szCs w:val="21"/>
              </w:rPr>
            </w:pPr>
            <w:r>
              <w:rPr>
                <w:rFonts w:hint="eastAsia" w:ascii="宋体" w:hAnsi="宋体"/>
                <w:szCs w:val="21"/>
              </w:rPr>
              <w:t>1.工作</w:t>
            </w:r>
            <w:r>
              <w:rPr>
                <w:rFonts w:ascii="宋体" w:hAnsi="宋体"/>
                <w:szCs w:val="21"/>
              </w:rPr>
              <w:t>团队</w:t>
            </w:r>
          </w:p>
        </w:tc>
        <w:tc>
          <w:tcPr>
            <w:tcW w:w="703" w:type="dxa"/>
            <w:vMerge w:val="restart"/>
            <w:tcMar>
              <w:top w:w="0" w:type="dxa"/>
              <w:left w:w="0" w:type="dxa"/>
              <w:bottom w:w="0" w:type="dxa"/>
              <w:right w:w="0" w:type="dxa"/>
            </w:tcMar>
            <w:vAlign w:val="center"/>
          </w:tcPr>
          <w:p w14:paraId="6EC3009C">
            <w:pPr>
              <w:autoSpaceDN w:val="0"/>
              <w:jc w:val="center"/>
              <w:rPr>
                <w:rFonts w:ascii="宋体" w:hAnsi="宋体"/>
                <w:szCs w:val="21"/>
              </w:rPr>
            </w:pPr>
            <w:r>
              <w:rPr>
                <w:rFonts w:ascii="宋体" w:hAnsi="宋体"/>
                <w:szCs w:val="21"/>
              </w:rPr>
              <w:t>10</w:t>
            </w:r>
          </w:p>
        </w:tc>
        <w:tc>
          <w:tcPr>
            <w:tcW w:w="4116" w:type="dxa"/>
            <w:vMerge w:val="restart"/>
            <w:tcMar>
              <w:top w:w="0" w:type="dxa"/>
              <w:left w:w="0" w:type="dxa"/>
              <w:bottom w:w="0" w:type="dxa"/>
              <w:right w:w="0" w:type="dxa"/>
            </w:tcMar>
            <w:vAlign w:val="center"/>
          </w:tcPr>
          <w:p w14:paraId="23F9B707">
            <w:pPr>
              <w:autoSpaceDN w:val="0"/>
              <w:rPr>
                <w:rFonts w:ascii="宋体" w:hAnsi="宋体"/>
                <w:szCs w:val="21"/>
              </w:rPr>
            </w:pPr>
            <w:r>
              <w:rPr>
                <w:rFonts w:hint="eastAsia" w:ascii="宋体" w:hAnsi="宋体"/>
                <w:szCs w:val="21"/>
              </w:rPr>
              <w:t xml:space="preserve">1.1 </w:t>
            </w:r>
            <w:r>
              <w:rPr>
                <w:rFonts w:ascii="宋体" w:hAnsi="宋体"/>
                <w:szCs w:val="21"/>
              </w:rPr>
              <w:t>技术经纪人</w:t>
            </w:r>
            <w:r>
              <w:rPr>
                <w:rFonts w:hint="eastAsia" w:ascii="宋体" w:hAnsi="宋体"/>
                <w:szCs w:val="21"/>
              </w:rPr>
              <w:t>/经理人</w:t>
            </w:r>
            <w:r>
              <w:rPr>
                <w:rFonts w:ascii="宋体" w:hAnsi="宋体"/>
                <w:szCs w:val="21"/>
              </w:rPr>
              <w:t>数</w:t>
            </w:r>
          </w:p>
        </w:tc>
        <w:tc>
          <w:tcPr>
            <w:tcW w:w="1559" w:type="dxa"/>
            <w:tcMar>
              <w:top w:w="0" w:type="dxa"/>
              <w:left w:w="0" w:type="dxa"/>
              <w:bottom w:w="0" w:type="dxa"/>
              <w:right w:w="0" w:type="dxa"/>
            </w:tcMar>
            <w:vAlign w:val="center"/>
          </w:tcPr>
          <w:p w14:paraId="70973C22">
            <w:pPr>
              <w:autoSpaceDN w:val="0"/>
              <w:adjustRightInd w:val="0"/>
              <w:snapToGrid w:val="0"/>
              <w:jc w:val="center"/>
              <w:rPr>
                <w:rFonts w:ascii="宋体" w:hAnsi="宋体"/>
                <w:szCs w:val="21"/>
              </w:rPr>
            </w:pPr>
            <w:r>
              <w:rPr>
                <w:rFonts w:ascii="宋体" w:hAnsi="宋体"/>
                <w:szCs w:val="21"/>
              </w:rPr>
              <w:t>Ni≥</w:t>
            </w:r>
            <w:r>
              <w:rPr>
                <w:rFonts w:hint="eastAsia" w:ascii="宋体" w:hAnsi="宋体"/>
                <w:szCs w:val="21"/>
              </w:rPr>
              <w:t>5</w:t>
            </w:r>
          </w:p>
        </w:tc>
        <w:tc>
          <w:tcPr>
            <w:tcW w:w="851" w:type="dxa"/>
            <w:tcMar>
              <w:top w:w="0" w:type="dxa"/>
              <w:left w:w="0" w:type="dxa"/>
              <w:bottom w:w="0" w:type="dxa"/>
              <w:right w:w="0" w:type="dxa"/>
            </w:tcMar>
            <w:vAlign w:val="center"/>
          </w:tcPr>
          <w:p w14:paraId="0FA87321">
            <w:pPr>
              <w:autoSpaceDN w:val="0"/>
              <w:adjustRightInd w:val="0"/>
              <w:snapToGrid w:val="0"/>
              <w:jc w:val="center"/>
              <w:rPr>
                <w:rFonts w:ascii="宋体" w:hAnsi="宋体"/>
                <w:szCs w:val="21"/>
              </w:rPr>
            </w:pPr>
            <w:r>
              <w:rPr>
                <w:rFonts w:ascii="宋体" w:hAnsi="宋体"/>
                <w:szCs w:val="21"/>
              </w:rPr>
              <w:t>-</w:t>
            </w:r>
          </w:p>
        </w:tc>
      </w:tr>
      <w:tr w14:paraId="2870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5793DB0">
            <w:pPr>
              <w:jc w:val="center"/>
              <w:rPr>
                <w:rFonts w:ascii="宋体" w:hAnsi="宋体"/>
                <w:szCs w:val="21"/>
              </w:rPr>
            </w:pPr>
          </w:p>
        </w:tc>
        <w:tc>
          <w:tcPr>
            <w:tcW w:w="703" w:type="dxa"/>
            <w:vMerge w:val="continue"/>
            <w:tcMar>
              <w:top w:w="0" w:type="dxa"/>
              <w:left w:w="0" w:type="dxa"/>
              <w:bottom w:w="0" w:type="dxa"/>
              <w:right w:w="0" w:type="dxa"/>
            </w:tcMar>
            <w:vAlign w:val="center"/>
          </w:tcPr>
          <w:p w14:paraId="7CD1E227">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05E82147">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9A61902">
            <w:pPr>
              <w:autoSpaceDN w:val="0"/>
              <w:adjustRightInd w:val="0"/>
              <w:snapToGrid w:val="0"/>
              <w:jc w:val="center"/>
              <w:rPr>
                <w:rFonts w:ascii="宋体" w:hAnsi="宋体"/>
                <w:szCs w:val="21"/>
              </w:rPr>
            </w:pPr>
            <w:r>
              <w:rPr>
                <w:rFonts w:hint="eastAsia" w:ascii="宋体" w:hAnsi="宋体"/>
                <w:szCs w:val="21"/>
              </w:rPr>
              <w:t>5</w:t>
            </w:r>
            <w:r>
              <w:rPr>
                <w:rFonts w:ascii="宋体" w:hAnsi="宋体"/>
                <w:szCs w:val="21"/>
              </w:rPr>
              <w:t>&gt; Ni≥3</w:t>
            </w:r>
          </w:p>
        </w:tc>
        <w:tc>
          <w:tcPr>
            <w:tcW w:w="851" w:type="dxa"/>
            <w:tcMar>
              <w:top w:w="0" w:type="dxa"/>
              <w:left w:w="0" w:type="dxa"/>
              <w:bottom w:w="0" w:type="dxa"/>
              <w:right w:w="0" w:type="dxa"/>
            </w:tcMar>
            <w:vAlign w:val="center"/>
          </w:tcPr>
          <w:p w14:paraId="2CC5A1F2">
            <w:pPr>
              <w:autoSpaceDN w:val="0"/>
              <w:adjustRightInd w:val="0"/>
              <w:snapToGrid w:val="0"/>
              <w:jc w:val="center"/>
              <w:rPr>
                <w:rFonts w:ascii="宋体" w:hAnsi="宋体"/>
                <w:szCs w:val="21"/>
              </w:rPr>
            </w:pPr>
            <w:r>
              <w:rPr>
                <w:rFonts w:ascii="宋体" w:hAnsi="宋体"/>
                <w:szCs w:val="21"/>
              </w:rPr>
              <w:t>2</w:t>
            </w:r>
          </w:p>
        </w:tc>
      </w:tr>
      <w:tr w14:paraId="2749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35386125">
            <w:pPr>
              <w:jc w:val="center"/>
              <w:rPr>
                <w:rFonts w:ascii="宋体" w:hAnsi="宋体"/>
                <w:szCs w:val="21"/>
              </w:rPr>
            </w:pPr>
          </w:p>
        </w:tc>
        <w:tc>
          <w:tcPr>
            <w:tcW w:w="703" w:type="dxa"/>
            <w:vMerge w:val="continue"/>
            <w:tcMar>
              <w:top w:w="0" w:type="dxa"/>
              <w:left w:w="0" w:type="dxa"/>
              <w:bottom w:w="0" w:type="dxa"/>
              <w:right w:w="0" w:type="dxa"/>
            </w:tcMar>
            <w:vAlign w:val="center"/>
          </w:tcPr>
          <w:p w14:paraId="5CE61E9C">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1D0F67BA">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114461C2">
            <w:pPr>
              <w:autoSpaceDN w:val="0"/>
              <w:adjustRightInd w:val="0"/>
              <w:snapToGrid w:val="0"/>
              <w:jc w:val="center"/>
              <w:rPr>
                <w:rFonts w:ascii="宋体" w:hAnsi="宋体"/>
                <w:szCs w:val="21"/>
              </w:rPr>
            </w:pPr>
            <w:r>
              <w:rPr>
                <w:rFonts w:hint="eastAsia" w:ascii="宋体" w:hAnsi="宋体"/>
                <w:szCs w:val="21"/>
              </w:rPr>
              <w:t>Ni&lt;</w:t>
            </w:r>
            <w:r>
              <w:rPr>
                <w:rFonts w:ascii="宋体" w:hAnsi="宋体"/>
                <w:szCs w:val="21"/>
              </w:rPr>
              <w:t>3</w:t>
            </w:r>
          </w:p>
        </w:tc>
        <w:tc>
          <w:tcPr>
            <w:tcW w:w="851" w:type="dxa"/>
            <w:tcMar>
              <w:top w:w="0" w:type="dxa"/>
              <w:left w:w="0" w:type="dxa"/>
              <w:bottom w:w="0" w:type="dxa"/>
              <w:right w:w="0" w:type="dxa"/>
            </w:tcMar>
            <w:vAlign w:val="center"/>
          </w:tcPr>
          <w:p w14:paraId="532DA0E0">
            <w:pPr>
              <w:autoSpaceDN w:val="0"/>
              <w:adjustRightInd w:val="0"/>
              <w:snapToGrid w:val="0"/>
              <w:jc w:val="center"/>
              <w:rPr>
                <w:rFonts w:ascii="宋体" w:hAnsi="宋体"/>
                <w:szCs w:val="21"/>
              </w:rPr>
            </w:pPr>
            <w:r>
              <w:rPr>
                <w:rFonts w:hint="eastAsia" w:ascii="宋体" w:hAnsi="宋体"/>
                <w:szCs w:val="21"/>
              </w:rPr>
              <w:t>0</w:t>
            </w:r>
          </w:p>
        </w:tc>
      </w:tr>
      <w:tr w14:paraId="49AA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34" w:type="dxa"/>
            <w:vMerge w:val="restart"/>
            <w:tcMar>
              <w:top w:w="0" w:type="dxa"/>
              <w:left w:w="0" w:type="dxa"/>
              <w:bottom w:w="0" w:type="dxa"/>
              <w:right w:w="0" w:type="dxa"/>
            </w:tcMar>
            <w:vAlign w:val="center"/>
          </w:tcPr>
          <w:p w14:paraId="5C21EDCF">
            <w:pPr>
              <w:autoSpaceDN w:val="0"/>
              <w:jc w:val="center"/>
              <w:rPr>
                <w:rFonts w:ascii="宋体" w:hAnsi="宋体"/>
                <w:szCs w:val="21"/>
              </w:rPr>
            </w:pPr>
            <w:r>
              <w:rPr>
                <w:rFonts w:ascii="宋体" w:hAnsi="宋体"/>
                <w:szCs w:val="21"/>
              </w:rPr>
              <w:t>2.服务能力</w:t>
            </w:r>
          </w:p>
        </w:tc>
        <w:tc>
          <w:tcPr>
            <w:tcW w:w="703" w:type="dxa"/>
            <w:vMerge w:val="restart"/>
            <w:tcMar>
              <w:top w:w="0" w:type="dxa"/>
              <w:left w:w="0" w:type="dxa"/>
              <w:bottom w:w="0" w:type="dxa"/>
              <w:right w:w="0" w:type="dxa"/>
            </w:tcMar>
            <w:vAlign w:val="center"/>
          </w:tcPr>
          <w:p w14:paraId="4A37763C">
            <w:pPr>
              <w:autoSpaceDN w:val="0"/>
              <w:jc w:val="center"/>
              <w:rPr>
                <w:rFonts w:ascii="宋体" w:hAnsi="宋体"/>
                <w:szCs w:val="21"/>
              </w:rPr>
            </w:pPr>
            <w:r>
              <w:rPr>
                <w:rFonts w:hint="eastAsia" w:ascii="宋体" w:hAnsi="宋体"/>
                <w:szCs w:val="21"/>
              </w:rPr>
              <w:t>1</w:t>
            </w:r>
            <w:r>
              <w:rPr>
                <w:rFonts w:ascii="宋体" w:hAnsi="宋体"/>
                <w:szCs w:val="21"/>
              </w:rPr>
              <w:t>5</w:t>
            </w:r>
          </w:p>
        </w:tc>
        <w:tc>
          <w:tcPr>
            <w:tcW w:w="4116" w:type="dxa"/>
            <w:vMerge w:val="restart"/>
            <w:tcMar>
              <w:top w:w="0" w:type="dxa"/>
              <w:left w:w="0" w:type="dxa"/>
              <w:bottom w:w="0" w:type="dxa"/>
              <w:right w:w="0" w:type="dxa"/>
            </w:tcMar>
            <w:vAlign w:val="center"/>
          </w:tcPr>
          <w:p w14:paraId="16AD54A7">
            <w:pPr>
              <w:autoSpaceDN w:val="0"/>
              <w:rPr>
                <w:rFonts w:ascii="宋体" w:hAnsi="宋体"/>
                <w:szCs w:val="21"/>
              </w:rPr>
            </w:pPr>
            <w:r>
              <w:rPr>
                <w:rFonts w:ascii="宋体" w:hAnsi="宋体"/>
                <w:szCs w:val="21"/>
              </w:rPr>
              <w:t>2</w:t>
            </w:r>
            <w:r>
              <w:rPr>
                <w:rFonts w:hint="eastAsia" w:ascii="宋体" w:hAnsi="宋体"/>
                <w:szCs w:val="21"/>
              </w:rPr>
              <w:t>.1</w:t>
            </w:r>
            <w:r>
              <w:rPr>
                <w:rFonts w:ascii="宋体" w:hAnsi="宋体"/>
                <w:szCs w:val="21"/>
              </w:rPr>
              <w:t xml:space="preserve"> 服务企业、高校院所数</w:t>
            </w:r>
          </w:p>
        </w:tc>
        <w:tc>
          <w:tcPr>
            <w:tcW w:w="1559" w:type="dxa"/>
            <w:tcMar>
              <w:top w:w="0" w:type="dxa"/>
              <w:left w:w="0" w:type="dxa"/>
              <w:bottom w:w="0" w:type="dxa"/>
              <w:right w:w="0" w:type="dxa"/>
            </w:tcMar>
            <w:vAlign w:val="center"/>
          </w:tcPr>
          <w:p w14:paraId="409E0A93">
            <w:pPr>
              <w:autoSpaceDN w:val="0"/>
              <w:jc w:val="center"/>
              <w:rPr>
                <w:rFonts w:ascii="宋体" w:hAnsi="宋体"/>
                <w:szCs w:val="21"/>
              </w:rPr>
            </w:pPr>
            <w:r>
              <w:rPr>
                <w:rFonts w:ascii="宋体" w:hAnsi="宋体"/>
                <w:szCs w:val="21"/>
              </w:rPr>
              <w:t>Ni≥30</w:t>
            </w:r>
          </w:p>
        </w:tc>
        <w:tc>
          <w:tcPr>
            <w:tcW w:w="851" w:type="dxa"/>
            <w:tcMar>
              <w:top w:w="0" w:type="dxa"/>
              <w:left w:w="0" w:type="dxa"/>
              <w:bottom w:w="0" w:type="dxa"/>
              <w:right w:w="0" w:type="dxa"/>
            </w:tcMar>
            <w:vAlign w:val="center"/>
          </w:tcPr>
          <w:p w14:paraId="0B7D63F6">
            <w:pPr>
              <w:autoSpaceDN w:val="0"/>
              <w:adjustRightInd w:val="0"/>
              <w:snapToGrid w:val="0"/>
              <w:jc w:val="center"/>
              <w:rPr>
                <w:rFonts w:ascii="宋体" w:hAnsi="宋体"/>
                <w:szCs w:val="21"/>
              </w:rPr>
            </w:pPr>
            <w:r>
              <w:rPr>
                <w:rFonts w:ascii="宋体" w:hAnsi="宋体"/>
                <w:szCs w:val="21"/>
              </w:rPr>
              <w:t>-</w:t>
            </w:r>
          </w:p>
        </w:tc>
      </w:tr>
      <w:tr w14:paraId="6641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9EA5EEF">
            <w:pPr>
              <w:jc w:val="center"/>
              <w:rPr>
                <w:rFonts w:ascii="宋体" w:hAnsi="宋体"/>
                <w:szCs w:val="21"/>
              </w:rPr>
            </w:pPr>
          </w:p>
        </w:tc>
        <w:tc>
          <w:tcPr>
            <w:tcW w:w="703" w:type="dxa"/>
            <w:vMerge w:val="continue"/>
            <w:tcMar>
              <w:top w:w="0" w:type="dxa"/>
              <w:left w:w="0" w:type="dxa"/>
              <w:bottom w:w="0" w:type="dxa"/>
              <w:right w:w="0" w:type="dxa"/>
            </w:tcMar>
            <w:vAlign w:val="center"/>
          </w:tcPr>
          <w:p w14:paraId="08591F9B">
            <w:pPr>
              <w:autoSpaceDN w:val="0"/>
              <w:rPr>
                <w:rFonts w:ascii="宋体" w:hAnsi="宋体"/>
                <w:szCs w:val="21"/>
              </w:rPr>
            </w:pPr>
          </w:p>
        </w:tc>
        <w:tc>
          <w:tcPr>
            <w:tcW w:w="4116" w:type="dxa"/>
            <w:vMerge w:val="continue"/>
            <w:tcMar>
              <w:top w:w="0" w:type="dxa"/>
              <w:left w:w="0" w:type="dxa"/>
              <w:bottom w:w="0" w:type="dxa"/>
              <w:right w:w="0" w:type="dxa"/>
            </w:tcMar>
            <w:vAlign w:val="center"/>
          </w:tcPr>
          <w:p w14:paraId="0A4DD003">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6CD67D5">
            <w:pPr>
              <w:autoSpaceDN w:val="0"/>
              <w:jc w:val="center"/>
              <w:rPr>
                <w:rFonts w:ascii="宋体" w:hAnsi="宋体"/>
                <w:szCs w:val="21"/>
              </w:rPr>
            </w:pPr>
            <w:r>
              <w:rPr>
                <w:rFonts w:ascii="宋体" w:hAnsi="宋体"/>
                <w:szCs w:val="21"/>
              </w:rPr>
              <w:t>30&gt; Ni≥20</w:t>
            </w:r>
          </w:p>
        </w:tc>
        <w:tc>
          <w:tcPr>
            <w:tcW w:w="851" w:type="dxa"/>
            <w:tcMar>
              <w:top w:w="0" w:type="dxa"/>
              <w:left w:w="0" w:type="dxa"/>
              <w:bottom w:w="0" w:type="dxa"/>
              <w:right w:w="0" w:type="dxa"/>
            </w:tcMar>
            <w:vAlign w:val="center"/>
          </w:tcPr>
          <w:p w14:paraId="5A6EA14C">
            <w:pPr>
              <w:autoSpaceDN w:val="0"/>
              <w:adjustRightInd w:val="0"/>
              <w:snapToGrid w:val="0"/>
              <w:jc w:val="center"/>
              <w:rPr>
                <w:rFonts w:ascii="宋体" w:hAnsi="宋体"/>
                <w:szCs w:val="21"/>
              </w:rPr>
            </w:pPr>
            <w:r>
              <w:rPr>
                <w:rFonts w:ascii="宋体" w:hAnsi="宋体"/>
                <w:szCs w:val="21"/>
              </w:rPr>
              <w:t>0.5</w:t>
            </w:r>
          </w:p>
        </w:tc>
      </w:tr>
      <w:tr w14:paraId="6702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48F39AE">
            <w:pPr>
              <w:jc w:val="center"/>
              <w:rPr>
                <w:rFonts w:ascii="宋体" w:hAnsi="宋体"/>
                <w:szCs w:val="21"/>
              </w:rPr>
            </w:pPr>
          </w:p>
        </w:tc>
        <w:tc>
          <w:tcPr>
            <w:tcW w:w="703" w:type="dxa"/>
            <w:vMerge w:val="continue"/>
            <w:tcMar>
              <w:top w:w="0" w:type="dxa"/>
              <w:left w:w="0" w:type="dxa"/>
              <w:bottom w:w="0" w:type="dxa"/>
              <w:right w:w="0" w:type="dxa"/>
            </w:tcMar>
            <w:vAlign w:val="center"/>
          </w:tcPr>
          <w:p w14:paraId="5D397212">
            <w:pPr>
              <w:autoSpaceDN w:val="0"/>
              <w:rPr>
                <w:rFonts w:ascii="宋体" w:hAnsi="宋体"/>
                <w:szCs w:val="21"/>
              </w:rPr>
            </w:pPr>
          </w:p>
        </w:tc>
        <w:tc>
          <w:tcPr>
            <w:tcW w:w="4116" w:type="dxa"/>
            <w:vMerge w:val="continue"/>
            <w:tcMar>
              <w:top w:w="0" w:type="dxa"/>
              <w:left w:w="0" w:type="dxa"/>
              <w:bottom w:w="0" w:type="dxa"/>
              <w:right w:w="0" w:type="dxa"/>
            </w:tcMar>
            <w:vAlign w:val="center"/>
          </w:tcPr>
          <w:p w14:paraId="237D1EC4">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8D81D7D">
            <w:pPr>
              <w:autoSpaceDN w:val="0"/>
              <w:jc w:val="center"/>
              <w:rPr>
                <w:rFonts w:ascii="宋体" w:hAnsi="宋体"/>
                <w:szCs w:val="21"/>
              </w:rPr>
            </w:pPr>
            <w:r>
              <w:rPr>
                <w:rFonts w:hint="eastAsia" w:ascii="宋体" w:hAnsi="宋体"/>
                <w:szCs w:val="21"/>
              </w:rPr>
              <w:t>Ni&lt;</w:t>
            </w:r>
            <w:r>
              <w:rPr>
                <w:rFonts w:ascii="宋体" w:hAnsi="宋体"/>
                <w:szCs w:val="21"/>
              </w:rPr>
              <w:t>20</w:t>
            </w:r>
          </w:p>
        </w:tc>
        <w:tc>
          <w:tcPr>
            <w:tcW w:w="851" w:type="dxa"/>
            <w:tcMar>
              <w:top w:w="0" w:type="dxa"/>
              <w:left w:w="0" w:type="dxa"/>
              <w:bottom w:w="0" w:type="dxa"/>
              <w:right w:w="0" w:type="dxa"/>
            </w:tcMar>
            <w:vAlign w:val="center"/>
          </w:tcPr>
          <w:p w14:paraId="4BF2E722">
            <w:pPr>
              <w:autoSpaceDN w:val="0"/>
              <w:adjustRightInd w:val="0"/>
              <w:snapToGrid w:val="0"/>
              <w:jc w:val="center"/>
              <w:rPr>
                <w:rFonts w:ascii="宋体" w:hAnsi="宋体"/>
                <w:szCs w:val="21"/>
              </w:rPr>
            </w:pPr>
            <w:r>
              <w:rPr>
                <w:rFonts w:hint="eastAsia" w:ascii="宋体" w:hAnsi="宋体"/>
                <w:szCs w:val="21"/>
              </w:rPr>
              <w:t>0</w:t>
            </w:r>
          </w:p>
        </w:tc>
      </w:tr>
      <w:tr w14:paraId="04D5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0F9F3DF">
            <w:pPr>
              <w:jc w:val="center"/>
              <w:rPr>
                <w:rFonts w:ascii="宋体" w:hAnsi="宋体"/>
                <w:szCs w:val="21"/>
              </w:rPr>
            </w:pPr>
          </w:p>
        </w:tc>
        <w:tc>
          <w:tcPr>
            <w:tcW w:w="703" w:type="dxa"/>
            <w:vMerge w:val="restart"/>
            <w:tcMar>
              <w:top w:w="0" w:type="dxa"/>
              <w:left w:w="0" w:type="dxa"/>
              <w:bottom w:w="0" w:type="dxa"/>
              <w:right w:w="0" w:type="dxa"/>
            </w:tcMar>
            <w:vAlign w:val="center"/>
          </w:tcPr>
          <w:p w14:paraId="7245A1EE">
            <w:pPr>
              <w:autoSpaceDN w:val="0"/>
              <w:jc w:val="center"/>
              <w:rPr>
                <w:rFonts w:ascii="宋体" w:hAnsi="宋体"/>
                <w:szCs w:val="21"/>
              </w:rPr>
            </w:pPr>
            <w:r>
              <w:rPr>
                <w:rFonts w:hint="eastAsia" w:ascii="宋体" w:hAnsi="宋体"/>
                <w:szCs w:val="21"/>
              </w:rPr>
              <w:t>15</w:t>
            </w:r>
          </w:p>
        </w:tc>
        <w:tc>
          <w:tcPr>
            <w:tcW w:w="4116" w:type="dxa"/>
            <w:vMerge w:val="restart"/>
            <w:tcMar>
              <w:top w:w="0" w:type="dxa"/>
              <w:left w:w="0" w:type="dxa"/>
              <w:bottom w:w="0" w:type="dxa"/>
              <w:right w:w="0" w:type="dxa"/>
            </w:tcMar>
            <w:vAlign w:val="center"/>
          </w:tcPr>
          <w:p w14:paraId="0B1EB502">
            <w:pPr>
              <w:autoSpaceDN w:val="0"/>
              <w:rPr>
                <w:rFonts w:ascii="宋体" w:hAnsi="宋体"/>
                <w:szCs w:val="21"/>
              </w:rPr>
            </w:pPr>
            <w:r>
              <w:rPr>
                <w:rFonts w:hint="eastAsia" w:ascii="宋体" w:hAnsi="宋体"/>
                <w:szCs w:val="21"/>
              </w:rPr>
              <w:t>2.2 服务</w:t>
            </w:r>
            <w:r>
              <w:rPr>
                <w:rFonts w:ascii="宋体" w:hAnsi="宋体"/>
                <w:szCs w:val="21"/>
              </w:rPr>
              <w:t>对象满意度评价</w:t>
            </w:r>
          </w:p>
        </w:tc>
        <w:tc>
          <w:tcPr>
            <w:tcW w:w="1559" w:type="dxa"/>
            <w:tcMar>
              <w:top w:w="0" w:type="dxa"/>
              <w:left w:w="0" w:type="dxa"/>
              <w:bottom w:w="0" w:type="dxa"/>
              <w:right w:w="0" w:type="dxa"/>
            </w:tcMar>
            <w:vAlign w:val="center"/>
          </w:tcPr>
          <w:p w14:paraId="51533F06">
            <w:pPr>
              <w:autoSpaceDN w:val="0"/>
              <w:jc w:val="center"/>
              <w:rPr>
                <w:rFonts w:ascii="宋体" w:hAnsi="宋体"/>
                <w:szCs w:val="21"/>
              </w:rPr>
            </w:pPr>
            <w:r>
              <w:rPr>
                <w:rFonts w:ascii="宋体" w:hAnsi="宋体"/>
                <w:szCs w:val="21"/>
              </w:rPr>
              <w:t>Ni≥90%</w:t>
            </w:r>
          </w:p>
        </w:tc>
        <w:tc>
          <w:tcPr>
            <w:tcW w:w="851" w:type="dxa"/>
            <w:tcMar>
              <w:top w:w="0" w:type="dxa"/>
              <w:left w:w="0" w:type="dxa"/>
              <w:bottom w:w="0" w:type="dxa"/>
              <w:right w:w="0" w:type="dxa"/>
            </w:tcMar>
            <w:vAlign w:val="center"/>
          </w:tcPr>
          <w:p w14:paraId="38A7966B">
            <w:pPr>
              <w:autoSpaceDN w:val="0"/>
              <w:adjustRightInd w:val="0"/>
              <w:snapToGrid w:val="0"/>
              <w:jc w:val="center"/>
              <w:rPr>
                <w:rFonts w:ascii="宋体" w:hAnsi="宋体"/>
                <w:szCs w:val="21"/>
              </w:rPr>
            </w:pPr>
            <w:r>
              <w:rPr>
                <w:rFonts w:ascii="宋体" w:hAnsi="宋体"/>
                <w:szCs w:val="21"/>
              </w:rPr>
              <w:t>-</w:t>
            </w:r>
          </w:p>
        </w:tc>
      </w:tr>
      <w:tr w14:paraId="518A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53899DB2">
            <w:pPr>
              <w:jc w:val="center"/>
              <w:rPr>
                <w:rFonts w:ascii="宋体" w:hAnsi="宋体"/>
                <w:szCs w:val="21"/>
              </w:rPr>
            </w:pPr>
          </w:p>
        </w:tc>
        <w:tc>
          <w:tcPr>
            <w:tcW w:w="703" w:type="dxa"/>
            <w:vMerge w:val="continue"/>
            <w:tcMar>
              <w:top w:w="0" w:type="dxa"/>
              <w:left w:w="0" w:type="dxa"/>
              <w:bottom w:w="0" w:type="dxa"/>
              <w:right w:w="0" w:type="dxa"/>
            </w:tcMar>
            <w:vAlign w:val="center"/>
          </w:tcPr>
          <w:p w14:paraId="5BCAEC1A">
            <w:pPr>
              <w:autoSpaceDN w:val="0"/>
              <w:rPr>
                <w:rFonts w:ascii="宋体" w:hAnsi="宋体"/>
                <w:szCs w:val="21"/>
              </w:rPr>
            </w:pPr>
          </w:p>
        </w:tc>
        <w:tc>
          <w:tcPr>
            <w:tcW w:w="4116" w:type="dxa"/>
            <w:vMerge w:val="continue"/>
            <w:tcMar>
              <w:top w:w="0" w:type="dxa"/>
              <w:left w:w="0" w:type="dxa"/>
              <w:bottom w:w="0" w:type="dxa"/>
              <w:right w:w="0" w:type="dxa"/>
            </w:tcMar>
            <w:vAlign w:val="center"/>
          </w:tcPr>
          <w:p w14:paraId="39398252">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0633A3D">
            <w:pPr>
              <w:autoSpaceDN w:val="0"/>
              <w:jc w:val="center"/>
              <w:rPr>
                <w:rFonts w:ascii="宋体" w:hAnsi="宋体"/>
                <w:szCs w:val="21"/>
              </w:rPr>
            </w:pPr>
            <w:r>
              <w:rPr>
                <w:rFonts w:ascii="宋体" w:hAnsi="宋体"/>
                <w:szCs w:val="21"/>
              </w:rPr>
              <w:t>90%&gt; Ni≥60%</w:t>
            </w:r>
          </w:p>
        </w:tc>
        <w:tc>
          <w:tcPr>
            <w:tcW w:w="851" w:type="dxa"/>
            <w:tcMar>
              <w:top w:w="0" w:type="dxa"/>
              <w:left w:w="0" w:type="dxa"/>
              <w:bottom w:w="0" w:type="dxa"/>
              <w:right w:w="0" w:type="dxa"/>
            </w:tcMar>
            <w:vAlign w:val="center"/>
          </w:tcPr>
          <w:p w14:paraId="7A778957">
            <w:pPr>
              <w:autoSpaceDN w:val="0"/>
              <w:adjustRightInd w:val="0"/>
              <w:snapToGrid w:val="0"/>
              <w:jc w:val="center"/>
              <w:rPr>
                <w:rFonts w:ascii="宋体" w:hAnsi="宋体"/>
                <w:szCs w:val="21"/>
              </w:rPr>
            </w:pPr>
            <w:r>
              <w:rPr>
                <w:rFonts w:hint="eastAsia" w:ascii="宋体" w:hAnsi="宋体"/>
                <w:szCs w:val="21"/>
              </w:rPr>
              <w:t>0.5</w:t>
            </w:r>
          </w:p>
        </w:tc>
      </w:tr>
      <w:tr w14:paraId="26EE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3B681CC7">
            <w:pPr>
              <w:jc w:val="center"/>
              <w:rPr>
                <w:rFonts w:ascii="宋体" w:hAnsi="宋体"/>
                <w:szCs w:val="21"/>
              </w:rPr>
            </w:pPr>
          </w:p>
        </w:tc>
        <w:tc>
          <w:tcPr>
            <w:tcW w:w="703" w:type="dxa"/>
            <w:vMerge w:val="continue"/>
            <w:tcMar>
              <w:top w:w="0" w:type="dxa"/>
              <w:left w:w="0" w:type="dxa"/>
              <w:bottom w:w="0" w:type="dxa"/>
              <w:right w:w="0" w:type="dxa"/>
            </w:tcMar>
            <w:vAlign w:val="center"/>
          </w:tcPr>
          <w:p w14:paraId="4DA33062">
            <w:pPr>
              <w:autoSpaceDN w:val="0"/>
              <w:rPr>
                <w:rFonts w:ascii="宋体" w:hAnsi="宋体"/>
                <w:szCs w:val="21"/>
              </w:rPr>
            </w:pPr>
          </w:p>
        </w:tc>
        <w:tc>
          <w:tcPr>
            <w:tcW w:w="4116" w:type="dxa"/>
            <w:vMerge w:val="continue"/>
            <w:tcMar>
              <w:top w:w="0" w:type="dxa"/>
              <w:left w:w="0" w:type="dxa"/>
              <w:bottom w:w="0" w:type="dxa"/>
              <w:right w:w="0" w:type="dxa"/>
            </w:tcMar>
            <w:vAlign w:val="center"/>
          </w:tcPr>
          <w:p w14:paraId="2AA19CCC">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7B0AE1F">
            <w:pPr>
              <w:autoSpaceDN w:val="0"/>
              <w:jc w:val="center"/>
              <w:rPr>
                <w:rFonts w:ascii="宋体" w:hAnsi="宋体"/>
                <w:szCs w:val="21"/>
              </w:rPr>
            </w:pPr>
            <w:r>
              <w:rPr>
                <w:rFonts w:hint="eastAsia" w:ascii="宋体" w:hAnsi="宋体"/>
                <w:szCs w:val="21"/>
              </w:rPr>
              <w:t>Ni&lt;</w:t>
            </w:r>
            <w:r>
              <w:rPr>
                <w:rFonts w:ascii="宋体" w:hAnsi="宋体"/>
                <w:szCs w:val="21"/>
              </w:rPr>
              <w:t>60%</w:t>
            </w:r>
          </w:p>
        </w:tc>
        <w:tc>
          <w:tcPr>
            <w:tcW w:w="851" w:type="dxa"/>
            <w:tcMar>
              <w:top w:w="0" w:type="dxa"/>
              <w:left w:w="0" w:type="dxa"/>
              <w:bottom w:w="0" w:type="dxa"/>
              <w:right w:w="0" w:type="dxa"/>
            </w:tcMar>
            <w:vAlign w:val="center"/>
          </w:tcPr>
          <w:p w14:paraId="0F02E005">
            <w:pPr>
              <w:autoSpaceDN w:val="0"/>
              <w:adjustRightInd w:val="0"/>
              <w:snapToGrid w:val="0"/>
              <w:jc w:val="center"/>
              <w:rPr>
                <w:rFonts w:ascii="宋体" w:hAnsi="宋体"/>
                <w:szCs w:val="21"/>
              </w:rPr>
            </w:pPr>
            <w:r>
              <w:rPr>
                <w:rFonts w:hint="eastAsia" w:ascii="宋体" w:hAnsi="宋体"/>
                <w:szCs w:val="21"/>
              </w:rPr>
              <w:t>0</w:t>
            </w:r>
          </w:p>
        </w:tc>
      </w:tr>
      <w:tr w14:paraId="5ED0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128657B">
            <w:pPr>
              <w:jc w:val="center"/>
              <w:rPr>
                <w:rFonts w:ascii="宋体" w:hAnsi="宋体"/>
                <w:szCs w:val="21"/>
              </w:rPr>
            </w:pPr>
          </w:p>
        </w:tc>
        <w:tc>
          <w:tcPr>
            <w:tcW w:w="703" w:type="dxa"/>
            <w:vMerge w:val="restart"/>
            <w:tcMar>
              <w:top w:w="0" w:type="dxa"/>
              <w:left w:w="0" w:type="dxa"/>
              <w:bottom w:w="0" w:type="dxa"/>
              <w:right w:w="0" w:type="dxa"/>
            </w:tcMar>
            <w:vAlign w:val="center"/>
          </w:tcPr>
          <w:p w14:paraId="188A49C5">
            <w:pPr>
              <w:autoSpaceDN w:val="0"/>
              <w:jc w:val="center"/>
              <w:rPr>
                <w:rFonts w:ascii="宋体" w:hAnsi="宋体"/>
                <w:szCs w:val="21"/>
              </w:rPr>
            </w:pPr>
            <w:r>
              <w:rPr>
                <w:rFonts w:hint="eastAsia" w:ascii="宋体" w:hAnsi="宋体"/>
                <w:szCs w:val="21"/>
              </w:rPr>
              <w:t>10</w:t>
            </w:r>
          </w:p>
        </w:tc>
        <w:tc>
          <w:tcPr>
            <w:tcW w:w="4116" w:type="dxa"/>
            <w:vMerge w:val="restart"/>
            <w:tcMar>
              <w:top w:w="0" w:type="dxa"/>
              <w:left w:w="0" w:type="dxa"/>
              <w:bottom w:w="0" w:type="dxa"/>
              <w:right w:w="0" w:type="dxa"/>
            </w:tcMar>
            <w:vAlign w:val="center"/>
          </w:tcPr>
          <w:p w14:paraId="134DC51C">
            <w:pPr>
              <w:autoSpaceDN w:val="0"/>
              <w:rPr>
                <w:rFonts w:ascii="宋体" w:hAnsi="宋体"/>
                <w:szCs w:val="21"/>
              </w:rPr>
            </w:pPr>
            <w:r>
              <w:rPr>
                <w:rFonts w:ascii="宋体" w:hAnsi="宋体"/>
                <w:szCs w:val="21"/>
              </w:rPr>
              <w:t xml:space="preserve">2.3 </w:t>
            </w:r>
            <w:r>
              <w:rPr>
                <w:rFonts w:hint="eastAsia" w:ascii="宋体" w:hAnsi="宋体"/>
                <w:szCs w:val="21"/>
              </w:rPr>
              <w:t>执行《技术转移服务规范》</w:t>
            </w:r>
            <w:r>
              <w:rPr>
                <w:rFonts w:ascii="宋体" w:hAnsi="宋体"/>
                <w:szCs w:val="21"/>
              </w:rPr>
              <w:t>国家标准</w:t>
            </w:r>
            <w:r>
              <w:rPr>
                <w:rFonts w:hint="eastAsia" w:ascii="宋体" w:hAnsi="宋体"/>
                <w:szCs w:val="21"/>
              </w:rPr>
              <w:t>情况</w:t>
            </w:r>
          </w:p>
        </w:tc>
        <w:tc>
          <w:tcPr>
            <w:tcW w:w="1559" w:type="dxa"/>
            <w:tcMar>
              <w:top w:w="0" w:type="dxa"/>
              <w:left w:w="0" w:type="dxa"/>
              <w:bottom w:w="0" w:type="dxa"/>
              <w:right w:w="0" w:type="dxa"/>
            </w:tcMar>
            <w:vAlign w:val="center"/>
          </w:tcPr>
          <w:p w14:paraId="2DDEA467">
            <w:pPr>
              <w:jc w:val="center"/>
              <w:rPr>
                <w:rFonts w:ascii="宋体" w:hAnsi="宋体"/>
                <w:szCs w:val="21"/>
              </w:rPr>
            </w:pPr>
            <w:r>
              <w:rPr>
                <w:rFonts w:hint="eastAsia" w:ascii="宋体" w:hAnsi="宋体"/>
                <w:szCs w:val="21"/>
              </w:rPr>
              <w:t>好</w:t>
            </w:r>
          </w:p>
        </w:tc>
        <w:tc>
          <w:tcPr>
            <w:tcW w:w="851" w:type="dxa"/>
            <w:tcMar>
              <w:top w:w="0" w:type="dxa"/>
              <w:left w:w="0" w:type="dxa"/>
              <w:bottom w:w="0" w:type="dxa"/>
              <w:right w:w="0" w:type="dxa"/>
            </w:tcMar>
            <w:vAlign w:val="center"/>
          </w:tcPr>
          <w:p w14:paraId="61C0635A">
            <w:pPr>
              <w:jc w:val="center"/>
              <w:rPr>
                <w:rFonts w:ascii="宋体" w:hAnsi="宋体"/>
                <w:szCs w:val="21"/>
              </w:rPr>
            </w:pPr>
            <w:r>
              <w:rPr>
                <w:rFonts w:ascii="宋体" w:hAnsi="宋体"/>
                <w:szCs w:val="21"/>
              </w:rPr>
              <w:t>-</w:t>
            </w:r>
          </w:p>
        </w:tc>
      </w:tr>
      <w:tr w14:paraId="07E8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692FE40">
            <w:pPr>
              <w:jc w:val="center"/>
              <w:rPr>
                <w:rFonts w:ascii="宋体" w:hAnsi="宋体"/>
                <w:szCs w:val="21"/>
              </w:rPr>
            </w:pPr>
          </w:p>
        </w:tc>
        <w:tc>
          <w:tcPr>
            <w:tcW w:w="703" w:type="dxa"/>
            <w:vMerge w:val="continue"/>
            <w:tcMar>
              <w:top w:w="0" w:type="dxa"/>
              <w:left w:w="0" w:type="dxa"/>
              <w:bottom w:w="0" w:type="dxa"/>
              <w:right w:w="0" w:type="dxa"/>
            </w:tcMar>
            <w:vAlign w:val="center"/>
          </w:tcPr>
          <w:p w14:paraId="7D99692A">
            <w:pPr>
              <w:autoSpaceDN w:val="0"/>
              <w:rPr>
                <w:rFonts w:ascii="宋体" w:hAnsi="宋体"/>
                <w:szCs w:val="21"/>
              </w:rPr>
            </w:pPr>
          </w:p>
        </w:tc>
        <w:tc>
          <w:tcPr>
            <w:tcW w:w="4116" w:type="dxa"/>
            <w:vMerge w:val="continue"/>
            <w:tcMar>
              <w:top w:w="0" w:type="dxa"/>
              <w:left w:w="0" w:type="dxa"/>
              <w:bottom w:w="0" w:type="dxa"/>
              <w:right w:w="0" w:type="dxa"/>
            </w:tcMar>
            <w:vAlign w:val="center"/>
          </w:tcPr>
          <w:p w14:paraId="177EC7DC">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028150AE">
            <w:pPr>
              <w:jc w:val="center"/>
              <w:rPr>
                <w:rFonts w:ascii="宋体" w:hAnsi="宋体"/>
                <w:szCs w:val="21"/>
              </w:rPr>
            </w:pPr>
            <w:r>
              <w:rPr>
                <w:rFonts w:hint="eastAsia" w:ascii="宋体" w:hAnsi="宋体"/>
                <w:szCs w:val="21"/>
              </w:rPr>
              <w:t>中</w:t>
            </w:r>
          </w:p>
        </w:tc>
        <w:tc>
          <w:tcPr>
            <w:tcW w:w="851" w:type="dxa"/>
            <w:tcMar>
              <w:top w:w="0" w:type="dxa"/>
              <w:left w:w="0" w:type="dxa"/>
              <w:bottom w:w="0" w:type="dxa"/>
              <w:right w:w="0" w:type="dxa"/>
            </w:tcMar>
            <w:vAlign w:val="center"/>
          </w:tcPr>
          <w:p w14:paraId="4B7A7B3A">
            <w:pPr>
              <w:jc w:val="center"/>
              <w:rPr>
                <w:rFonts w:ascii="宋体" w:hAnsi="宋体"/>
                <w:szCs w:val="21"/>
              </w:rPr>
            </w:pPr>
            <w:r>
              <w:rPr>
                <w:rFonts w:ascii="宋体" w:hAnsi="宋体"/>
                <w:szCs w:val="21"/>
              </w:rPr>
              <w:t>0.</w:t>
            </w:r>
            <w:r>
              <w:rPr>
                <w:rFonts w:hint="eastAsia" w:ascii="宋体" w:hAnsi="宋体"/>
                <w:szCs w:val="21"/>
              </w:rPr>
              <w:t>5</w:t>
            </w:r>
          </w:p>
        </w:tc>
      </w:tr>
      <w:tr w14:paraId="5B96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6A0FF1ED">
            <w:pPr>
              <w:jc w:val="center"/>
              <w:rPr>
                <w:rFonts w:ascii="宋体" w:hAnsi="宋体"/>
                <w:szCs w:val="21"/>
              </w:rPr>
            </w:pPr>
          </w:p>
        </w:tc>
        <w:tc>
          <w:tcPr>
            <w:tcW w:w="703" w:type="dxa"/>
            <w:vMerge w:val="continue"/>
            <w:tcMar>
              <w:top w:w="0" w:type="dxa"/>
              <w:left w:w="0" w:type="dxa"/>
              <w:bottom w:w="0" w:type="dxa"/>
              <w:right w:w="0" w:type="dxa"/>
            </w:tcMar>
            <w:vAlign w:val="center"/>
          </w:tcPr>
          <w:p w14:paraId="5E475214">
            <w:pPr>
              <w:autoSpaceDN w:val="0"/>
              <w:rPr>
                <w:rFonts w:ascii="宋体" w:hAnsi="宋体"/>
                <w:szCs w:val="21"/>
              </w:rPr>
            </w:pPr>
          </w:p>
        </w:tc>
        <w:tc>
          <w:tcPr>
            <w:tcW w:w="4116" w:type="dxa"/>
            <w:vMerge w:val="continue"/>
            <w:tcMar>
              <w:top w:w="0" w:type="dxa"/>
              <w:left w:w="0" w:type="dxa"/>
              <w:bottom w:w="0" w:type="dxa"/>
              <w:right w:w="0" w:type="dxa"/>
            </w:tcMar>
            <w:vAlign w:val="center"/>
          </w:tcPr>
          <w:p w14:paraId="1BE89A4F">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6BE640B2">
            <w:pPr>
              <w:jc w:val="center"/>
              <w:rPr>
                <w:rFonts w:ascii="宋体" w:hAnsi="宋体"/>
                <w:szCs w:val="21"/>
              </w:rPr>
            </w:pPr>
            <w:r>
              <w:rPr>
                <w:rFonts w:hint="eastAsia" w:ascii="宋体" w:hAnsi="宋体"/>
                <w:szCs w:val="21"/>
              </w:rPr>
              <w:t>差</w:t>
            </w:r>
          </w:p>
        </w:tc>
        <w:tc>
          <w:tcPr>
            <w:tcW w:w="851" w:type="dxa"/>
            <w:tcMar>
              <w:top w:w="0" w:type="dxa"/>
              <w:left w:w="0" w:type="dxa"/>
              <w:bottom w:w="0" w:type="dxa"/>
              <w:right w:w="0" w:type="dxa"/>
            </w:tcMar>
            <w:vAlign w:val="center"/>
          </w:tcPr>
          <w:p w14:paraId="29CC58C2">
            <w:pPr>
              <w:jc w:val="center"/>
              <w:rPr>
                <w:rFonts w:ascii="宋体" w:hAnsi="宋体"/>
                <w:szCs w:val="21"/>
              </w:rPr>
            </w:pPr>
            <w:r>
              <w:rPr>
                <w:rFonts w:hint="eastAsia" w:ascii="宋体" w:hAnsi="宋体"/>
                <w:szCs w:val="21"/>
              </w:rPr>
              <w:t>0</w:t>
            </w:r>
          </w:p>
        </w:tc>
      </w:tr>
    </w:tbl>
    <w:p w14:paraId="39C258D7"/>
    <w:p w14:paraId="4125EFC0">
      <w:pPr>
        <w:rPr>
          <w:rFonts w:ascii="宋体" w:hAnsi="宋体"/>
          <w:b/>
          <w:szCs w:val="21"/>
        </w:rPr>
      </w:pPr>
      <w:r>
        <w:rPr>
          <w:rFonts w:hint="eastAsia" w:ascii="宋体" w:hAnsi="宋体"/>
          <w:b/>
          <w:szCs w:val="21"/>
        </w:rPr>
        <w:t>（二）</w:t>
      </w:r>
      <w:r>
        <w:rPr>
          <w:rFonts w:ascii="宋体" w:hAnsi="宋体"/>
          <w:b/>
          <w:szCs w:val="21"/>
        </w:rPr>
        <w:t>服务</w:t>
      </w:r>
      <w:r>
        <w:rPr>
          <w:rFonts w:hint="eastAsia" w:ascii="宋体" w:hAnsi="宋体"/>
          <w:b/>
          <w:szCs w:val="21"/>
        </w:rPr>
        <w:t>业绩指标</w:t>
      </w:r>
      <w:r>
        <w:rPr>
          <w:rFonts w:ascii="宋体" w:hAnsi="宋体"/>
          <w:b/>
          <w:szCs w:val="21"/>
        </w:rPr>
        <w:t>：</w:t>
      </w:r>
    </w:p>
    <w:tbl>
      <w:tblPr>
        <w:tblStyle w:val="9"/>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3"/>
        <w:gridCol w:w="4116"/>
        <w:gridCol w:w="1559"/>
        <w:gridCol w:w="851"/>
      </w:tblGrid>
      <w:tr w14:paraId="6C9E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37" w:type="dxa"/>
            <w:gridSpan w:val="2"/>
            <w:tcMar>
              <w:top w:w="0" w:type="dxa"/>
              <w:left w:w="0" w:type="dxa"/>
              <w:bottom w:w="0" w:type="dxa"/>
              <w:right w:w="0" w:type="dxa"/>
            </w:tcMar>
            <w:vAlign w:val="center"/>
          </w:tcPr>
          <w:p w14:paraId="4967E47E">
            <w:pPr>
              <w:autoSpaceDN w:val="0"/>
              <w:jc w:val="center"/>
              <w:rPr>
                <w:rFonts w:ascii="宋体" w:hAnsi="宋体"/>
                <w:b/>
                <w:szCs w:val="21"/>
              </w:rPr>
            </w:pPr>
            <w:r>
              <w:rPr>
                <w:rFonts w:ascii="宋体" w:hAnsi="宋体"/>
                <w:b/>
                <w:szCs w:val="21"/>
              </w:rPr>
              <w:t>一级指标</w:t>
            </w:r>
          </w:p>
        </w:tc>
        <w:tc>
          <w:tcPr>
            <w:tcW w:w="5675" w:type="dxa"/>
            <w:gridSpan w:val="2"/>
            <w:tcMar>
              <w:top w:w="0" w:type="dxa"/>
              <w:left w:w="0" w:type="dxa"/>
              <w:bottom w:w="0" w:type="dxa"/>
              <w:right w:w="0" w:type="dxa"/>
            </w:tcMar>
            <w:vAlign w:val="center"/>
          </w:tcPr>
          <w:p w14:paraId="3218C42D">
            <w:pPr>
              <w:autoSpaceDN w:val="0"/>
              <w:jc w:val="center"/>
              <w:rPr>
                <w:rFonts w:ascii="宋体" w:hAnsi="宋体"/>
                <w:b/>
                <w:szCs w:val="21"/>
              </w:rPr>
            </w:pPr>
            <w:r>
              <w:rPr>
                <w:rFonts w:ascii="宋体" w:hAnsi="宋体"/>
                <w:b/>
                <w:szCs w:val="21"/>
              </w:rPr>
              <w:t>二级指标</w:t>
            </w:r>
          </w:p>
        </w:tc>
        <w:tc>
          <w:tcPr>
            <w:tcW w:w="851" w:type="dxa"/>
            <w:vMerge w:val="restart"/>
            <w:tcMar>
              <w:top w:w="0" w:type="dxa"/>
              <w:left w:w="0" w:type="dxa"/>
              <w:bottom w:w="0" w:type="dxa"/>
              <w:right w:w="0" w:type="dxa"/>
            </w:tcMar>
            <w:vAlign w:val="center"/>
          </w:tcPr>
          <w:p w14:paraId="2F447944">
            <w:pPr>
              <w:autoSpaceDN w:val="0"/>
              <w:jc w:val="center"/>
              <w:rPr>
                <w:rFonts w:ascii="宋体" w:hAnsi="宋体"/>
                <w:b/>
                <w:szCs w:val="21"/>
              </w:rPr>
            </w:pPr>
            <w:r>
              <w:rPr>
                <w:rFonts w:hint="eastAsia" w:ascii="宋体" w:hAnsi="宋体"/>
                <w:b/>
                <w:szCs w:val="21"/>
              </w:rPr>
              <w:t>变换</w:t>
            </w:r>
            <w:r>
              <w:rPr>
                <w:rFonts w:ascii="宋体" w:hAnsi="宋体"/>
                <w:b/>
                <w:szCs w:val="21"/>
              </w:rPr>
              <w:t>值</w:t>
            </w:r>
            <w:r>
              <w:rPr>
                <w:rFonts w:hint="eastAsia" w:ascii="宋体" w:hAnsi="宋体"/>
                <w:b/>
                <w:szCs w:val="21"/>
              </w:rPr>
              <w:t>（K</w:t>
            </w:r>
            <w:r>
              <w:rPr>
                <w:rFonts w:ascii="宋体" w:hAnsi="宋体"/>
                <w:b/>
                <w:szCs w:val="21"/>
              </w:rPr>
              <w:t>i）</w:t>
            </w:r>
          </w:p>
        </w:tc>
      </w:tr>
      <w:tr w14:paraId="048D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Mar>
              <w:top w:w="0" w:type="dxa"/>
              <w:left w:w="0" w:type="dxa"/>
              <w:bottom w:w="0" w:type="dxa"/>
              <w:right w:w="0" w:type="dxa"/>
            </w:tcMar>
            <w:vAlign w:val="center"/>
          </w:tcPr>
          <w:p w14:paraId="3F8806A3">
            <w:pPr>
              <w:autoSpaceDN w:val="0"/>
              <w:jc w:val="center"/>
              <w:rPr>
                <w:rFonts w:ascii="宋体" w:hAnsi="宋体"/>
                <w:b/>
                <w:bCs/>
                <w:szCs w:val="21"/>
              </w:rPr>
            </w:pPr>
            <w:r>
              <w:rPr>
                <w:rFonts w:ascii="宋体" w:hAnsi="宋体"/>
                <w:b/>
                <w:bCs/>
                <w:szCs w:val="21"/>
              </w:rPr>
              <w:t>名称</w:t>
            </w:r>
          </w:p>
        </w:tc>
        <w:tc>
          <w:tcPr>
            <w:tcW w:w="703" w:type="dxa"/>
            <w:tcMar>
              <w:top w:w="0" w:type="dxa"/>
              <w:left w:w="0" w:type="dxa"/>
              <w:bottom w:w="0" w:type="dxa"/>
              <w:right w:w="0" w:type="dxa"/>
            </w:tcMar>
            <w:vAlign w:val="center"/>
          </w:tcPr>
          <w:p w14:paraId="03921C19">
            <w:pPr>
              <w:autoSpaceDN w:val="0"/>
              <w:jc w:val="center"/>
              <w:rPr>
                <w:rFonts w:ascii="宋体" w:hAnsi="宋体"/>
                <w:b/>
                <w:bCs/>
                <w:szCs w:val="21"/>
              </w:rPr>
            </w:pPr>
            <w:r>
              <w:rPr>
                <w:rFonts w:hint="eastAsia" w:ascii="宋体" w:hAnsi="宋体"/>
                <w:b/>
                <w:bCs/>
                <w:szCs w:val="21"/>
              </w:rPr>
              <w:t>分值（Mi）</w:t>
            </w:r>
          </w:p>
        </w:tc>
        <w:tc>
          <w:tcPr>
            <w:tcW w:w="4116" w:type="dxa"/>
            <w:tcMar>
              <w:top w:w="0" w:type="dxa"/>
              <w:left w:w="0" w:type="dxa"/>
              <w:bottom w:w="0" w:type="dxa"/>
              <w:right w:w="0" w:type="dxa"/>
            </w:tcMar>
            <w:vAlign w:val="center"/>
          </w:tcPr>
          <w:p w14:paraId="54B083EF">
            <w:pPr>
              <w:autoSpaceDN w:val="0"/>
              <w:jc w:val="center"/>
              <w:rPr>
                <w:rFonts w:ascii="宋体" w:hAnsi="宋体"/>
                <w:b/>
                <w:bCs/>
                <w:szCs w:val="21"/>
              </w:rPr>
            </w:pPr>
            <w:r>
              <w:rPr>
                <w:rFonts w:ascii="宋体" w:hAnsi="宋体"/>
                <w:b/>
                <w:bCs/>
                <w:szCs w:val="21"/>
              </w:rPr>
              <w:t>名称</w:t>
            </w:r>
          </w:p>
        </w:tc>
        <w:tc>
          <w:tcPr>
            <w:tcW w:w="1559" w:type="dxa"/>
            <w:tcMar>
              <w:top w:w="0" w:type="dxa"/>
              <w:left w:w="0" w:type="dxa"/>
              <w:bottom w:w="0" w:type="dxa"/>
              <w:right w:w="0" w:type="dxa"/>
            </w:tcMar>
            <w:vAlign w:val="center"/>
          </w:tcPr>
          <w:p w14:paraId="1748FCD2">
            <w:pPr>
              <w:autoSpaceDN w:val="0"/>
              <w:adjustRightInd w:val="0"/>
              <w:snapToGrid w:val="0"/>
              <w:jc w:val="center"/>
              <w:rPr>
                <w:rFonts w:ascii="宋体" w:hAnsi="宋体"/>
                <w:b/>
                <w:bCs/>
                <w:szCs w:val="21"/>
              </w:rPr>
            </w:pPr>
            <w:r>
              <w:rPr>
                <w:rFonts w:hint="eastAsia" w:ascii="宋体" w:hAnsi="宋体"/>
                <w:b/>
                <w:bCs/>
                <w:szCs w:val="21"/>
              </w:rPr>
              <w:t>取值范围（N</w:t>
            </w:r>
            <w:r>
              <w:rPr>
                <w:rFonts w:ascii="宋体" w:hAnsi="宋体"/>
                <w:b/>
                <w:bCs/>
                <w:szCs w:val="21"/>
              </w:rPr>
              <w:t>i）</w:t>
            </w:r>
          </w:p>
        </w:tc>
        <w:tc>
          <w:tcPr>
            <w:tcW w:w="851" w:type="dxa"/>
            <w:vMerge w:val="continue"/>
            <w:tcMar>
              <w:top w:w="0" w:type="dxa"/>
              <w:left w:w="0" w:type="dxa"/>
              <w:bottom w:w="0" w:type="dxa"/>
              <w:right w:w="0" w:type="dxa"/>
            </w:tcMar>
            <w:vAlign w:val="center"/>
          </w:tcPr>
          <w:p w14:paraId="083D9FBD">
            <w:pPr>
              <w:autoSpaceDN w:val="0"/>
              <w:adjustRightInd w:val="0"/>
              <w:snapToGrid w:val="0"/>
              <w:jc w:val="center"/>
              <w:rPr>
                <w:rFonts w:ascii="宋体" w:hAnsi="宋体"/>
                <w:b/>
                <w:bCs/>
                <w:szCs w:val="21"/>
              </w:rPr>
            </w:pPr>
          </w:p>
        </w:tc>
      </w:tr>
      <w:tr w14:paraId="65BA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41944CCC">
            <w:pPr>
              <w:autoSpaceDN w:val="0"/>
              <w:jc w:val="center"/>
              <w:rPr>
                <w:rFonts w:ascii="宋体" w:hAnsi="宋体"/>
                <w:szCs w:val="21"/>
              </w:rPr>
            </w:pPr>
            <w:r>
              <w:rPr>
                <w:rFonts w:ascii="宋体" w:hAnsi="宋体"/>
                <w:szCs w:val="21"/>
              </w:rPr>
              <w:t>3</w:t>
            </w:r>
            <w:r>
              <w:rPr>
                <w:rFonts w:hint="eastAsia" w:ascii="宋体" w:hAnsi="宋体"/>
                <w:szCs w:val="21"/>
              </w:rPr>
              <w:t>.技术开发服务</w:t>
            </w:r>
          </w:p>
        </w:tc>
        <w:tc>
          <w:tcPr>
            <w:tcW w:w="703" w:type="dxa"/>
            <w:vMerge w:val="restart"/>
            <w:tcMar>
              <w:top w:w="0" w:type="dxa"/>
              <w:left w:w="0" w:type="dxa"/>
              <w:bottom w:w="0" w:type="dxa"/>
              <w:right w:w="0" w:type="dxa"/>
            </w:tcMar>
            <w:vAlign w:val="center"/>
          </w:tcPr>
          <w:p w14:paraId="509AC1A0">
            <w:pPr>
              <w:autoSpaceDN w:val="0"/>
              <w:jc w:val="center"/>
              <w:rPr>
                <w:rFonts w:ascii="宋体" w:hAnsi="宋体"/>
                <w:szCs w:val="21"/>
              </w:rPr>
            </w:pPr>
            <w:r>
              <w:rPr>
                <w:rFonts w:ascii="宋体" w:hAnsi="宋体"/>
                <w:szCs w:val="21"/>
              </w:rPr>
              <w:t>2</w:t>
            </w:r>
            <w:r>
              <w:rPr>
                <w:rFonts w:hint="eastAsia" w:ascii="宋体" w:hAnsi="宋体"/>
                <w:szCs w:val="21"/>
              </w:rPr>
              <w:t>0</w:t>
            </w:r>
          </w:p>
        </w:tc>
        <w:tc>
          <w:tcPr>
            <w:tcW w:w="4116" w:type="dxa"/>
            <w:vMerge w:val="restart"/>
            <w:tcMar>
              <w:top w:w="0" w:type="dxa"/>
              <w:left w:w="0" w:type="dxa"/>
              <w:bottom w:w="0" w:type="dxa"/>
              <w:right w:w="0" w:type="dxa"/>
            </w:tcMar>
            <w:vAlign w:val="center"/>
          </w:tcPr>
          <w:p w14:paraId="27A86C13">
            <w:pPr>
              <w:autoSpaceDN w:val="0"/>
              <w:rPr>
                <w:rFonts w:ascii="宋体" w:hAnsi="宋体"/>
                <w:szCs w:val="21"/>
              </w:rPr>
            </w:pPr>
            <w:r>
              <w:rPr>
                <w:rFonts w:hint="eastAsia" w:ascii="宋体" w:hAnsi="宋体"/>
                <w:szCs w:val="21"/>
              </w:rPr>
              <w:t>3.1</w:t>
            </w:r>
            <w:r>
              <w:rPr>
                <w:rFonts w:ascii="宋体" w:hAnsi="宋体"/>
                <w:szCs w:val="21"/>
              </w:rPr>
              <w:t xml:space="preserve"> </w:t>
            </w:r>
            <w:r>
              <w:rPr>
                <w:rFonts w:hint="eastAsia" w:ascii="宋体" w:hAnsi="宋体"/>
                <w:szCs w:val="21"/>
              </w:rPr>
              <w:t>签订（促成）技术开发合同数</w:t>
            </w:r>
          </w:p>
        </w:tc>
        <w:tc>
          <w:tcPr>
            <w:tcW w:w="1559" w:type="dxa"/>
            <w:tcMar>
              <w:top w:w="0" w:type="dxa"/>
              <w:left w:w="0" w:type="dxa"/>
              <w:bottom w:w="0" w:type="dxa"/>
              <w:right w:w="0" w:type="dxa"/>
            </w:tcMar>
            <w:vAlign w:val="center"/>
          </w:tcPr>
          <w:p w14:paraId="728B2266">
            <w:pPr>
              <w:autoSpaceDN w:val="0"/>
              <w:jc w:val="center"/>
              <w:rPr>
                <w:rFonts w:ascii="宋体" w:hAnsi="宋体"/>
                <w:szCs w:val="21"/>
              </w:rPr>
            </w:pPr>
            <w:r>
              <w:rPr>
                <w:rFonts w:ascii="宋体" w:hAnsi="宋体"/>
                <w:szCs w:val="21"/>
              </w:rPr>
              <w:t>Ni≥2</w:t>
            </w:r>
            <w:r>
              <w:rPr>
                <w:rFonts w:hint="eastAsia" w:ascii="宋体" w:hAnsi="宋体"/>
                <w:szCs w:val="21"/>
              </w:rPr>
              <w:t>0</w:t>
            </w:r>
          </w:p>
        </w:tc>
        <w:tc>
          <w:tcPr>
            <w:tcW w:w="851" w:type="dxa"/>
            <w:tcMar>
              <w:top w:w="0" w:type="dxa"/>
              <w:left w:w="0" w:type="dxa"/>
              <w:bottom w:w="0" w:type="dxa"/>
              <w:right w:w="0" w:type="dxa"/>
            </w:tcMar>
            <w:vAlign w:val="center"/>
          </w:tcPr>
          <w:p w14:paraId="31D0876B">
            <w:pPr>
              <w:autoSpaceDN w:val="0"/>
              <w:adjustRightInd w:val="0"/>
              <w:snapToGrid w:val="0"/>
              <w:jc w:val="center"/>
              <w:rPr>
                <w:rFonts w:ascii="宋体" w:hAnsi="宋体"/>
                <w:szCs w:val="21"/>
              </w:rPr>
            </w:pPr>
            <w:r>
              <w:rPr>
                <w:rFonts w:ascii="宋体" w:hAnsi="宋体"/>
                <w:szCs w:val="21"/>
              </w:rPr>
              <w:t>-</w:t>
            </w:r>
          </w:p>
        </w:tc>
      </w:tr>
      <w:tr w14:paraId="7697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69EBA3ED">
            <w:pPr>
              <w:jc w:val="center"/>
              <w:rPr>
                <w:rFonts w:ascii="宋体" w:hAnsi="宋体"/>
                <w:szCs w:val="21"/>
              </w:rPr>
            </w:pPr>
          </w:p>
        </w:tc>
        <w:tc>
          <w:tcPr>
            <w:tcW w:w="703" w:type="dxa"/>
            <w:vMerge w:val="continue"/>
            <w:tcMar>
              <w:top w:w="0" w:type="dxa"/>
              <w:left w:w="0" w:type="dxa"/>
              <w:bottom w:w="0" w:type="dxa"/>
              <w:right w:w="0" w:type="dxa"/>
            </w:tcMar>
            <w:vAlign w:val="center"/>
          </w:tcPr>
          <w:p w14:paraId="11E19908">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041695B2">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2CE6EF7">
            <w:pPr>
              <w:autoSpaceDN w:val="0"/>
              <w:jc w:val="center"/>
              <w:rPr>
                <w:rFonts w:ascii="宋体" w:hAnsi="宋体"/>
                <w:szCs w:val="21"/>
              </w:rPr>
            </w:pPr>
            <w:r>
              <w:rPr>
                <w:rFonts w:ascii="宋体" w:hAnsi="宋体"/>
                <w:szCs w:val="21"/>
              </w:rPr>
              <w:t>20&gt; Ni≥5</w:t>
            </w:r>
          </w:p>
        </w:tc>
        <w:tc>
          <w:tcPr>
            <w:tcW w:w="851" w:type="dxa"/>
            <w:tcMar>
              <w:top w:w="0" w:type="dxa"/>
              <w:left w:w="0" w:type="dxa"/>
              <w:bottom w:w="0" w:type="dxa"/>
              <w:right w:w="0" w:type="dxa"/>
            </w:tcMar>
            <w:vAlign w:val="center"/>
          </w:tcPr>
          <w:p w14:paraId="55A33B49">
            <w:pPr>
              <w:autoSpaceDN w:val="0"/>
              <w:adjustRightInd w:val="0"/>
              <w:snapToGrid w:val="0"/>
              <w:jc w:val="center"/>
              <w:rPr>
                <w:rFonts w:ascii="宋体" w:hAnsi="宋体"/>
                <w:szCs w:val="21"/>
              </w:rPr>
            </w:pPr>
            <w:r>
              <w:rPr>
                <w:rFonts w:ascii="宋体" w:hAnsi="宋体"/>
                <w:szCs w:val="21"/>
              </w:rPr>
              <w:t>1</w:t>
            </w:r>
          </w:p>
        </w:tc>
      </w:tr>
      <w:tr w14:paraId="7C92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3E2EB983">
            <w:pPr>
              <w:jc w:val="center"/>
              <w:rPr>
                <w:rFonts w:ascii="宋体" w:hAnsi="宋体"/>
                <w:szCs w:val="21"/>
              </w:rPr>
            </w:pPr>
          </w:p>
        </w:tc>
        <w:tc>
          <w:tcPr>
            <w:tcW w:w="703" w:type="dxa"/>
            <w:vMerge w:val="continue"/>
            <w:tcMar>
              <w:top w:w="0" w:type="dxa"/>
              <w:left w:w="0" w:type="dxa"/>
              <w:bottom w:w="0" w:type="dxa"/>
              <w:right w:w="0" w:type="dxa"/>
            </w:tcMar>
            <w:vAlign w:val="center"/>
          </w:tcPr>
          <w:p w14:paraId="2BACF343">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2140993A">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0CFFCABD">
            <w:pPr>
              <w:autoSpaceDN w:val="0"/>
              <w:jc w:val="center"/>
              <w:rPr>
                <w:rFonts w:ascii="宋体" w:hAnsi="宋体"/>
                <w:szCs w:val="21"/>
              </w:rPr>
            </w:pPr>
            <w:r>
              <w:rPr>
                <w:rFonts w:hint="eastAsia" w:ascii="宋体" w:hAnsi="宋体"/>
                <w:szCs w:val="21"/>
              </w:rPr>
              <w:t>Ni&lt;</w:t>
            </w:r>
            <w:r>
              <w:rPr>
                <w:rFonts w:ascii="宋体" w:hAnsi="宋体"/>
                <w:szCs w:val="21"/>
              </w:rPr>
              <w:t>5</w:t>
            </w:r>
          </w:p>
        </w:tc>
        <w:tc>
          <w:tcPr>
            <w:tcW w:w="851" w:type="dxa"/>
            <w:tcMar>
              <w:top w:w="0" w:type="dxa"/>
              <w:left w:w="0" w:type="dxa"/>
              <w:bottom w:w="0" w:type="dxa"/>
              <w:right w:w="0" w:type="dxa"/>
            </w:tcMar>
            <w:vAlign w:val="center"/>
          </w:tcPr>
          <w:p w14:paraId="08C578FA">
            <w:pPr>
              <w:autoSpaceDN w:val="0"/>
              <w:adjustRightInd w:val="0"/>
              <w:snapToGrid w:val="0"/>
              <w:jc w:val="center"/>
              <w:rPr>
                <w:rFonts w:ascii="宋体" w:hAnsi="宋体"/>
                <w:szCs w:val="21"/>
              </w:rPr>
            </w:pPr>
            <w:r>
              <w:rPr>
                <w:rFonts w:hint="eastAsia" w:ascii="宋体" w:hAnsi="宋体"/>
                <w:szCs w:val="21"/>
              </w:rPr>
              <w:t>0</w:t>
            </w:r>
          </w:p>
        </w:tc>
      </w:tr>
      <w:tr w14:paraId="0388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54EB3DE9">
            <w:pPr>
              <w:jc w:val="center"/>
              <w:rPr>
                <w:rFonts w:ascii="宋体" w:hAnsi="宋体"/>
                <w:szCs w:val="21"/>
              </w:rPr>
            </w:pPr>
          </w:p>
        </w:tc>
        <w:tc>
          <w:tcPr>
            <w:tcW w:w="703" w:type="dxa"/>
            <w:vMerge w:val="restart"/>
            <w:tcMar>
              <w:top w:w="0" w:type="dxa"/>
              <w:left w:w="0" w:type="dxa"/>
              <w:bottom w:w="0" w:type="dxa"/>
              <w:right w:w="0" w:type="dxa"/>
            </w:tcMar>
            <w:vAlign w:val="center"/>
          </w:tcPr>
          <w:p w14:paraId="3D6CF583">
            <w:pPr>
              <w:autoSpaceDN w:val="0"/>
              <w:jc w:val="center"/>
              <w:rPr>
                <w:rFonts w:ascii="宋体" w:hAnsi="宋体"/>
                <w:szCs w:val="21"/>
              </w:rPr>
            </w:pPr>
            <w:r>
              <w:rPr>
                <w:rFonts w:ascii="宋体" w:hAnsi="宋体"/>
                <w:szCs w:val="21"/>
              </w:rPr>
              <w:t>5</w:t>
            </w:r>
            <w:r>
              <w:rPr>
                <w:rFonts w:hint="eastAsia" w:ascii="宋体" w:hAnsi="宋体"/>
                <w:szCs w:val="21"/>
              </w:rPr>
              <w:t>0</w:t>
            </w:r>
          </w:p>
        </w:tc>
        <w:tc>
          <w:tcPr>
            <w:tcW w:w="4116" w:type="dxa"/>
            <w:vMerge w:val="restart"/>
            <w:tcMar>
              <w:top w:w="0" w:type="dxa"/>
              <w:left w:w="0" w:type="dxa"/>
              <w:bottom w:w="0" w:type="dxa"/>
              <w:right w:w="0" w:type="dxa"/>
            </w:tcMar>
            <w:vAlign w:val="center"/>
          </w:tcPr>
          <w:p w14:paraId="2E95EB16">
            <w:pPr>
              <w:autoSpaceDN w:val="0"/>
              <w:rPr>
                <w:rFonts w:ascii="宋体" w:hAnsi="宋体"/>
                <w:szCs w:val="21"/>
              </w:rPr>
            </w:pPr>
            <w:r>
              <w:rPr>
                <w:rFonts w:ascii="宋体" w:hAnsi="宋体"/>
                <w:szCs w:val="21"/>
              </w:rPr>
              <w:t>3.2</w:t>
            </w:r>
            <w:r>
              <w:rPr>
                <w:rFonts w:hint="eastAsia" w:ascii="宋体" w:hAnsi="宋体"/>
                <w:szCs w:val="21"/>
              </w:rPr>
              <w:t xml:space="preserve"> 实现</w:t>
            </w:r>
            <w:r>
              <w:rPr>
                <w:rFonts w:ascii="宋体" w:hAnsi="宋体"/>
                <w:szCs w:val="21"/>
              </w:rPr>
              <w:t>（</w:t>
            </w:r>
            <w:r>
              <w:rPr>
                <w:rFonts w:hint="eastAsia" w:ascii="宋体" w:hAnsi="宋体"/>
                <w:szCs w:val="21"/>
              </w:rPr>
              <w:t>促成）</w:t>
            </w:r>
            <w:r>
              <w:rPr>
                <w:rFonts w:ascii="宋体" w:hAnsi="宋体"/>
                <w:szCs w:val="21"/>
              </w:rPr>
              <w:t>技术交易金额</w:t>
            </w:r>
            <w:r>
              <w:rPr>
                <w:rFonts w:hint="eastAsia" w:ascii="宋体" w:hAnsi="宋体"/>
                <w:szCs w:val="21"/>
              </w:rPr>
              <w:t>（万元</w:t>
            </w:r>
            <w:r>
              <w:rPr>
                <w:rFonts w:ascii="宋体" w:hAnsi="宋体"/>
                <w:szCs w:val="21"/>
              </w:rPr>
              <w:t>）</w:t>
            </w:r>
          </w:p>
        </w:tc>
        <w:tc>
          <w:tcPr>
            <w:tcW w:w="1559" w:type="dxa"/>
            <w:tcMar>
              <w:top w:w="0" w:type="dxa"/>
              <w:left w:w="0" w:type="dxa"/>
              <w:bottom w:w="0" w:type="dxa"/>
              <w:right w:w="0" w:type="dxa"/>
            </w:tcMar>
            <w:vAlign w:val="center"/>
          </w:tcPr>
          <w:p w14:paraId="20A5626E">
            <w:pPr>
              <w:autoSpaceDN w:val="0"/>
              <w:jc w:val="center"/>
              <w:rPr>
                <w:rFonts w:ascii="宋体" w:hAnsi="宋体"/>
                <w:szCs w:val="21"/>
              </w:rPr>
            </w:pPr>
            <w:r>
              <w:rPr>
                <w:rFonts w:ascii="宋体" w:hAnsi="宋体"/>
                <w:szCs w:val="21"/>
              </w:rPr>
              <w:t>Ni≥1000</w:t>
            </w:r>
          </w:p>
        </w:tc>
        <w:tc>
          <w:tcPr>
            <w:tcW w:w="851" w:type="dxa"/>
            <w:tcMar>
              <w:top w:w="0" w:type="dxa"/>
              <w:left w:w="0" w:type="dxa"/>
              <w:bottom w:w="0" w:type="dxa"/>
              <w:right w:w="0" w:type="dxa"/>
            </w:tcMar>
            <w:vAlign w:val="center"/>
          </w:tcPr>
          <w:p w14:paraId="1852A761">
            <w:pPr>
              <w:autoSpaceDN w:val="0"/>
              <w:adjustRightInd w:val="0"/>
              <w:snapToGrid w:val="0"/>
              <w:jc w:val="center"/>
              <w:rPr>
                <w:rFonts w:ascii="宋体" w:hAnsi="宋体"/>
                <w:szCs w:val="21"/>
              </w:rPr>
            </w:pPr>
            <w:r>
              <w:rPr>
                <w:rFonts w:ascii="宋体" w:hAnsi="宋体"/>
                <w:szCs w:val="21"/>
              </w:rPr>
              <w:t>-</w:t>
            </w:r>
          </w:p>
        </w:tc>
      </w:tr>
      <w:tr w14:paraId="23FA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2A13EAB">
            <w:pPr>
              <w:jc w:val="center"/>
              <w:rPr>
                <w:rFonts w:ascii="宋体" w:hAnsi="宋体"/>
                <w:szCs w:val="21"/>
              </w:rPr>
            </w:pPr>
          </w:p>
        </w:tc>
        <w:tc>
          <w:tcPr>
            <w:tcW w:w="703" w:type="dxa"/>
            <w:vMerge w:val="continue"/>
            <w:tcMar>
              <w:top w:w="0" w:type="dxa"/>
              <w:left w:w="0" w:type="dxa"/>
              <w:bottom w:w="0" w:type="dxa"/>
              <w:right w:w="0" w:type="dxa"/>
            </w:tcMar>
            <w:vAlign w:val="center"/>
          </w:tcPr>
          <w:p w14:paraId="64235323">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4D2EF179">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FB054EB">
            <w:pPr>
              <w:autoSpaceDN w:val="0"/>
              <w:jc w:val="center"/>
              <w:rPr>
                <w:rFonts w:ascii="宋体" w:hAnsi="宋体"/>
                <w:szCs w:val="21"/>
              </w:rPr>
            </w:pPr>
            <w:r>
              <w:rPr>
                <w:rFonts w:ascii="宋体" w:hAnsi="宋体"/>
                <w:szCs w:val="21"/>
              </w:rPr>
              <w:t>1000&gt; Ni≥50</w:t>
            </w:r>
          </w:p>
        </w:tc>
        <w:tc>
          <w:tcPr>
            <w:tcW w:w="851" w:type="dxa"/>
            <w:tcMar>
              <w:top w:w="0" w:type="dxa"/>
              <w:left w:w="0" w:type="dxa"/>
              <w:bottom w:w="0" w:type="dxa"/>
              <w:right w:w="0" w:type="dxa"/>
            </w:tcMar>
            <w:vAlign w:val="center"/>
          </w:tcPr>
          <w:p w14:paraId="5ABF40A2">
            <w:pPr>
              <w:autoSpaceDN w:val="0"/>
              <w:adjustRightInd w:val="0"/>
              <w:snapToGrid w:val="0"/>
              <w:jc w:val="center"/>
              <w:rPr>
                <w:rFonts w:ascii="宋体" w:hAnsi="宋体"/>
                <w:szCs w:val="21"/>
              </w:rPr>
            </w:pPr>
            <w:r>
              <w:rPr>
                <w:rFonts w:ascii="宋体" w:hAnsi="宋体"/>
                <w:szCs w:val="21"/>
              </w:rPr>
              <w:t>0.04</w:t>
            </w:r>
          </w:p>
        </w:tc>
      </w:tr>
      <w:tr w14:paraId="2842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A2AB911">
            <w:pPr>
              <w:jc w:val="center"/>
              <w:rPr>
                <w:rFonts w:ascii="宋体" w:hAnsi="宋体"/>
                <w:szCs w:val="21"/>
              </w:rPr>
            </w:pPr>
          </w:p>
        </w:tc>
        <w:tc>
          <w:tcPr>
            <w:tcW w:w="703" w:type="dxa"/>
            <w:vMerge w:val="continue"/>
            <w:tcMar>
              <w:top w:w="0" w:type="dxa"/>
              <w:left w:w="0" w:type="dxa"/>
              <w:bottom w:w="0" w:type="dxa"/>
              <w:right w:w="0" w:type="dxa"/>
            </w:tcMar>
            <w:vAlign w:val="center"/>
          </w:tcPr>
          <w:p w14:paraId="21C30B11">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1FDA976E">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5886B6A0">
            <w:pPr>
              <w:autoSpaceDN w:val="0"/>
              <w:jc w:val="center"/>
              <w:rPr>
                <w:rFonts w:ascii="宋体" w:hAnsi="宋体"/>
                <w:szCs w:val="21"/>
              </w:rPr>
            </w:pPr>
            <w:r>
              <w:rPr>
                <w:rFonts w:hint="eastAsia" w:ascii="宋体" w:hAnsi="宋体"/>
                <w:szCs w:val="21"/>
              </w:rPr>
              <w:t>Ni&lt;</w:t>
            </w:r>
            <w:r>
              <w:rPr>
                <w:rFonts w:ascii="宋体" w:hAnsi="宋体"/>
                <w:szCs w:val="21"/>
              </w:rPr>
              <w:t>50</w:t>
            </w:r>
          </w:p>
        </w:tc>
        <w:tc>
          <w:tcPr>
            <w:tcW w:w="851" w:type="dxa"/>
            <w:tcMar>
              <w:top w:w="0" w:type="dxa"/>
              <w:left w:w="0" w:type="dxa"/>
              <w:bottom w:w="0" w:type="dxa"/>
              <w:right w:w="0" w:type="dxa"/>
            </w:tcMar>
            <w:vAlign w:val="center"/>
          </w:tcPr>
          <w:p w14:paraId="3E316B56">
            <w:pPr>
              <w:autoSpaceDN w:val="0"/>
              <w:adjustRightInd w:val="0"/>
              <w:snapToGrid w:val="0"/>
              <w:jc w:val="center"/>
              <w:rPr>
                <w:rFonts w:ascii="宋体" w:hAnsi="宋体"/>
                <w:szCs w:val="21"/>
              </w:rPr>
            </w:pPr>
            <w:r>
              <w:rPr>
                <w:rFonts w:hint="eastAsia" w:ascii="宋体" w:hAnsi="宋体"/>
                <w:szCs w:val="21"/>
              </w:rPr>
              <w:t>0</w:t>
            </w:r>
          </w:p>
        </w:tc>
      </w:tr>
      <w:tr w14:paraId="3FBD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30715FB0">
            <w:pPr>
              <w:jc w:val="center"/>
              <w:rPr>
                <w:rFonts w:ascii="宋体" w:hAnsi="宋体"/>
                <w:szCs w:val="21"/>
              </w:rPr>
            </w:pPr>
            <w:r>
              <w:rPr>
                <w:rFonts w:ascii="宋体" w:hAnsi="宋体"/>
                <w:szCs w:val="21"/>
              </w:rPr>
              <w:t>4</w:t>
            </w:r>
            <w:r>
              <w:rPr>
                <w:rFonts w:hint="eastAsia" w:ascii="宋体" w:hAnsi="宋体"/>
                <w:szCs w:val="21"/>
              </w:rPr>
              <w:t>.技术</w:t>
            </w:r>
            <w:r>
              <w:rPr>
                <w:rFonts w:ascii="宋体" w:hAnsi="宋体"/>
                <w:szCs w:val="21"/>
              </w:rPr>
              <w:t>转让</w:t>
            </w:r>
            <w:r>
              <w:rPr>
                <w:rFonts w:hint="eastAsia" w:ascii="宋体" w:hAnsi="宋体"/>
                <w:szCs w:val="21"/>
              </w:rPr>
              <w:t>、许可服务</w:t>
            </w:r>
          </w:p>
        </w:tc>
        <w:tc>
          <w:tcPr>
            <w:tcW w:w="703" w:type="dxa"/>
            <w:vMerge w:val="restart"/>
            <w:tcMar>
              <w:top w:w="0" w:type="dxa"/>
              <w:left w:w="0" w:type="dxa"/>
              <w:bottom w:w="0" w:type="dxa"/>
              <w:right w:w="0" w:type="dxa"/>
            </w:tcMar>
            <w:vAlign w:val="center"/>
          </w:tcPr>
          <w:p w14:paraId="69171DFE">
            <w:pPr>
              <w:autoSpaceDN w:val="0"/>
              <w:jc w:val="center"/>
              <w:rPr>
                <w:rFonts w:ascii="宋体" w:hAnsi="宋体"/>
                <w:szCs w:val="21"/>
              </w:rPr>
            </w:pPr>
            <w:r>
              <w:rPr>
                <w:rFonts w:ascii="宋体" w:hAnsi="宋体"/>
                <w:szCs w:val="21"/>
              </w:rPr>
              <w:t>20</w:t>
            </w:r>
          </w:p>
        </w:tc>
        <w:tc>
          <w:tcPr>
            <w:tcW w:w="4116" w:type="dxa"/>
            <w:vMerge w:val="restart"/>
            <w:tcMar>
              <w:top w:w="0" w:type="dxa"/>
              <w:left w:w="0" w:type="dxa"/>
              <w:bottom w:w="0" w:type="dxa"/>
              <w:right w:w="0" w:type="dxa"/>
            </w:tcMar>
            <w:vAlign w:val="center"/>
          </w:tcPr>
          <w:p w14:paraId="0785665A">
            <w:pPr>
              <w:autoSpaceDN w:val="0"/>
              <w:rPr>
                <w:rFonts w:ascii="宋体" w:hAnsi="宋体"/>
                <w:szCs w:val="21"/>
              </w:rPr>
            </w:pPr>
            <w:r>
              <w:rPr>
                <w:rFonts w:ascii="宋体" w:hAnsi="宋体"/>
                <w:szCs w:val="21"/>
              </w:rPr>
              <w:t>4.1</w:t>
            </w:r>
            <w:r>
              <w:rPr>
                <w:rFonts w:hint="eastAsia" w:ascii="宋体" w:hAnsi="宋体"/>
                <w:szCs w:val="21"/>
              </w:rPr>
              <w:t xml:space="preserve"> 促成</w:t>
            </w:r>
            <w:r>
              <w:rPr>
                <w:rFonts w:ascii="宋体" w:hAnsi="宋体"/>
                <w:szCs w:val="21"/>
              </w:rPr>
              <w:t>技术</w:t>
            </w:r>
            <w:r>
              <w:rPr>
                <w:rFonts w:hint="eastAsia" w:ascii="宋体" w:hAnsi="宋体"/>
                <w:szCs w:val="21"/>
              </w:rPr>
              <w:t>转让、</w:t>
            </w:r>
            <w:r>
              <w:rPr>
                <w:rFonts w:ascii="宋体" w:hAnsi="宋体"/>
                <w:szCs w:val="21"/>
              </w:rPr>
              <w:t>许可服务合同数</w:t>
            </w:r>
          </w:p>
        </w:tc>
        <w:tc>
          <w:tcPr>
            <w:tcW w:w="1559" w:type="dxa"/>
            <w:tcMar>
              <w:top w:w="0" w:type="dxa"/>
              <w:left w:w="0" w:type="dxa"/>
              <w:bottom w:w="0" w:type="dxa"/>
              <w:right w:w="0" w:type="dxa"/>
            </w:tcMar>
            <w:vAlign w:val="center"/>
          </w:tcPr>
          <w:p w14:paraId="1F0D488F">
            <w:pPr>
              <w:autoSpaceDN w:val="0"/>
              <w:jc w:val="center"/>
              <w:rPr>
                <w:rFonts w:ascii="宋体" w:hAnsi="宋体"/>
                <w:szCs w:val="21"/>
              </w:rPr>
            </w:pPr>
            <w:r>
              <w:rPr>
                <w:rFonts w:ascii="宋体" w:hAnsi="宋体"/>
                <w:szCs w:val="21"/>
              </w:rPr>
              <w:t>Ni≥2</w:t>
            </w:r>
            <w:r>
              <w:rPr>
                <w:rFonts w:hint="eastAsia" w:ascii="宋体" w:hAnsi="宋体"/>
                <w:szCs w:val="21"/>
              </w:rPr>
              <w:t>0</w:t>
            </w:r>
          </w:p>
        </w:tc>
        <w:tc>
          <w:tcPr>
            <w:tcW w:w="851" w:type="dxa"/>
            <w:tcMar>
              <w:top w:w="0" w:type="dxa"/>
              <w:left w:w="0" w:type="dxa"/>
              <w:bottom w:w="0" w:type="dxa"/>
              <w:right w:w="0" w:type="dxa"/>
            </w:tcMar>
            <w:vAlign w:val="center"/>
          </w:tcPr>
          <w:p w14:paraId="7901588A">
            <w:pPr>
              <w:autoSpaceDN w:val="0"/>
              <w:adjustRightInd w:val="0"/>
              <w:snapToGrid w:val="0"/>
              <w:jc w:val="center"/>
              <w:rPr>
                <w:rFonts w:ascii="宋体" w:hAnsi="宋体"/>
                <w:szCs w:val="21"/>
              </w:rPr>
            </w:pPr>
            <w:r>
              <w:rPr>
                <w:rFonts w:ascii="宋体" w:hAnsi="宋体"/>
                <w:szCs w:val="21"/>
              </w:rPr>
              <w:t>-</w:t>
            </w:r>
          </w:p>
        </w:tc>
      </w:tr>
      <w:tr w14:paraId="6E59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FB3CEC3">
            <w:pPr>
              <w:jc w:val="center"/>
              <w:rPr>
                <w:rFonts w:ascii="宋体" w:hAnsi="宋体"/>
                <w:szCs w:val="21"/>
              </w:rPr>
            </w:pPr>
          </w:p>
        </w:tc>
        <w:tc>
          <w:tcPr>
            <w:tcW w:w="703" w:type="dxa"/>
            <w:vMerge w:val="continue"/>
            <w:tcMar>
              <w:top w:w="0" w:type="dxa"/>
              <w:left w:w="0" w:type="dxa"/>
              <w:bottom w:w="0" w:type="dxa"/>
              <w:right w:w="0" w:type="dxa"/>
            </w:tcMar>
            <w:vAlign w:val="center"/>
          </w:tcPr>
          <w:p w14:paraId="563AAC3E">
            <w:pPr>
              <w:autoSpaceDN w:val="0"/>
              <w:rPr>
                <w:rFonts w:ascii="宋体" w:hAnsi="宋体"/>
                <w:szCs w:val="21"/>
              </w:rPr>
            </w:pPr>
          </w:p>
        </w:tc>
        <w:tc>
          <w:tcPr>
            <w:tcW w:w="4116" w:type="dxa"/>
            <w:vMerge w:val="continue"/>
            <w:tcMar>
              <w:top w:w="0" w:type="dxa"/>
              <w:left w:w="0" w:type="dxa"/>
              <w:bottom w:w="0" w:type="dxa"/>
              <w:right w:w="0" w:type="dxa"/>
            </w:tcMar>
            <w:vAlign w:val="center"/>
          </w:tcPr>
          <w:p w14:paraId="3B2C8F23">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462ED418">
            <w:pPr>
              <w:autoSpaceDN w:val="0"/>
              <w:jc w:val="center"/>
              <w:rPr>
                <w:rFonts w:ascii="宋体" w:hAnsi="宋体"/>
                <w:szCs w:val="21"/>
              </w:rPr>
            </w:pPr>
            <w:r>
              <w:rPr>
                <w:rFonts w:ascii="宋体" w:hAnsi="宋体"/>
                <w:szCs w:val="21"/>
              </w:rPr>
              <w:t>20&gt; Ni≥5</w:t>
            </w:r>
          </w:p>
        </w:tc>
        <w:tc>
          <w:tcPr>
            <w:tcW w:w="851" w:type="dxa"/>
            <w:tcMar>
              <w:top w:w="0" w:type="dxa"/>
              <w:left w:w="0" w:type="dxa"/>
              <w:bottom w:w="0" w:type="dxa"/>
              <w:right w:w="0" w:type="dxa"/>
            </w:tcMar>
            <w:vAlign w:val="center"/>
          </w:tcPr>
          <w:p w14:paraId="321EEF97">
            <w:pPr>
              <w:autoSpaceDN w:val="0"/>
              <w:adjustRightInd w:val="0"/>
              <w:snapToGrid w:val="0"/>
              <w:jc w:val="center"/>
              <w:rPr>
                <w:rFonts w:ascii="宋体" w:hAnsi="宋体"/>
                <w:szCs w:val="21"/>
              </w:rPr>
            </w:pPr>
            <w:r>
              <w:rPr>
                <w:rFonts w:ascii="宋体" w:hAnsi="宋体"/>
                <w:szCs w:val="21"/>
              </w:rPr>
              <w:t>1</w:t>
            </w:r>
          </w:p>
        </w:tc>
      </w:tr>
      <w:tr w14:paraId="0846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3A02ED54">
            <w:pPr>
              <w:jc w:val="center"/>
              <w:rPr>
                <w:rFonts w:ascii="宋体" w:hAnsi="宋体"/>
                <w:szCs w:val="21"/>
              </w:rPr>
            </w:pPr>
          </w:p>
        </w:tc>
        <w:tc>
          <w:tcPr>
            <w:tcW w:w="703" w:type="dxa"/>
            <w:vMerge w:val="continue"/>
            <w:tcMar>
              <w:top w:w="0" w:type="dxa"/>
              <w:left w:w="0" w:type="dxa"/>
              <w:bottom w:w="0" w:type="dxa"/>
              <w:right w:w="0" w:type="dxa"/>
            </w:tcMar>
            <w:vAlign w:val="center"/>
          </w:tcPr>
          <w:p w14:paraId="61BC1D00">
            <w:pPr>
              <w:autoSpaceDN w:val="0"/>
              <w:rPr>
                <w:rFonts w:ascii="宋体" w:hAnsi="宋体"/>
                <w:szCs w:val="21"/>
              </w:rPr>
            </w:pPr>
          </w:p>
        </w:tc>
        <w:tc>
          <w:tcPr>
            <w:tcW w:w="4116" w:type="dxa"/>
            <w:vMerge w:val="continue"/>
            <w:tcMar>
              <w:top w:w="0" w:type="dxa"/>
              <w:left w:w="0" w:type="dxa"/>
              <w:bottom w:w="0" w:type="dxa"/>
              <w:right w:w="0" w:type="dxa"/>
            </w:tcMar>
            <w:vAlign w:val="center"/>
          </w:tcPr>
          <w:p w14:paraId="586971CA">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14ED05B1">
            <w:pPr>
              <w:autoSpaceDN w:val="0"/>
              <w:jc w:val="center"/>
              <w:rPr>
                <w:rFonts w:ascii="宋体" w:hAnsi="宋体"/>
                <w:szCs w:val="21"/>
              </w:rPr>
            </w:pPr>
            <w:r>
              <w:rPr>
                <w:rFonts w:hint="eastAsia" w:ascii="宋体" w:hAnsi="宋体"/>
                <w:szCs w:val="21"/>
              </w:rPr>
              <w:t>Ni&lt;</w:t>
            </w:r>
            <w:r>
              <w:rPr>
                <w:rFonts w:ascii="宋体" w:hAnsi="宋体"/>
                <w:szCs w:val="21"/>
              </w:rPr>
              <w:t>5</w:t>
            </w:r>
          </w:p>
        </w:tc>
        <w:tc>
          <w:tcPr>
            <w:tcW w:w="851" w:type="dxa"/>
            <w:tcMar>
              <w:top w:w="0" w:type="dxa"/>
              <w:left w:w="0" w:type="dxa"/>
              <w:bottom w:w="0" w:type="dxa"/>
              <w:right w:w="0" w:type="dxa"/>
            </w:tcMar>
            <w:vAlign w:val="center"/>
          </w:tcPr>
          <w:p w14:paraId="635339F9">
            <w:pPr>
              <w:autoSpaceDN w:val="0"/>
              <w:adjustRightInd w:val="0"/>
              <w:snapToGrid w:val="0"/>
              <w:jc w:val="center"/>
              <w:rPr>
                <w:rFonts w:ascii="宋体" w:hAnsi="宋体"/>
                <w:szCs w:val="21"/>
              </w:rPr>
            </w:pPr>
            <w:r>
              <w:rPr>
                <w:rFonts w:hint="eastAsia" w:ascii="宋体" w:hAnsi="宋体"/>
                <w:szCs w:val="21"/>
              </w:rPr>
              <w:t>0</w:t>
            </w:r>
          </w:p>
        </w:tc>
      </w:tr>
      <w:tr w14:paraId="32BB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64DFD09A">
            <w:pPr>
              <w:jc w:val="center"/>
              <w:rPr>
                <w:rFonts w:ascii="宋体" w:hAnsi="宋体"/>
                <w:szCs w:val="21"/>
              </w:rPr>
            </w:pPr>
          </w:p>
        </w:tc>
        <w:tc>
          <w:tcPr>
            <w:tcW w:w="703" w:type="dxa"/>
            <w:vMerge w:val="restart"/>
            <w:tcMar>
              <w:top w:w="0" w:type="dxa"/>
              <w:left w:w="0" w:type="dxa"/>
              <w:bottom w:w="0" w:type="dxa"/>
              <w:right w:w="0" w:type="dxa"/>
            </w:tcMar>
            <w:vAlign w:val="center"/>
          </w:tcPr>
          <w:p w14:paraId="690705AA">
            <w:pPr>
              <w:autoSpaceDN w:val="0"/>
              <w:jc w:val="center"/>
              <w:rPr>
                <w:rFonts w:ascii="宋体" w:hAnsi="宋体"/>
                <w:szCs w:val="21"/>
              </w:rPr>
            </w:pPr>
            <w:r>
              <w:rPr>
                <w:rFonts w:ascii="宋体" w:hAnsi="宋体"/>
                <w:szCs w:val="21"/>
              </w:rPr>
              <w:t>4</w:t>
            </w:r>
            <w:r>
              <w:rPr>
                <w:rFonts w:hint="eastAsia" w:ascii="宋体" w:hAnsi="宋体"/>
                <w:szCs w:val="21"/>
              </w:rPr>
              <w:t>0</w:t>
            </w:r>
          </w:p>
        </w:tc>
        <w:tc>
          <w:tcPr>
            <w:tcW w:w="4116" w:type="dxa"/>
            <w:vMerge w:val="restart"/>
            <w:tcMar>
              <w:top w:w="0" w:type="dxa"/>
              <w:left w:w="0" w:type="dxa"/>
              <w:bottom w:w="0" w:type="dxa"/>
              <w:right w:w="0" w:type="dxa"/>
            </w:tcMar>
            <w:vAlign w:val="center"/>
          </w:tcPr>
          <w:p w14:paraId="3E80AFAA">
            <w:pPr>
              <w:autoSpaceDN w:val="0"/>
              <w:rPr>
                <w:rFonts w:ascii="宋体" w:hAnsi="宋体"/>
                <w:szCs w:val="21"/>
              </w:rPr>
            </w:pPr>
            <w:r>
              <w:rPr>
                <w:rFonts w:ascii="宋体" w:hAnsi="宋体"/>
                <w:szCs w:val="21"/>
              </w:rPr>
              <w:t>4.2</w:t>
            </w:r>
            <w:r>
              <w:rPr>
                <w:rFonts w:hint="eastAsia" w:ascii="宋体" w:hAnsi="宋体"/>
                <w:szCs w:val="21"/>
              </w:rPr>
              <w:t xml:space="preserve"> 促成</w:t>
            </w:r>
            <w:r>
              <w:rPr>
                <w:rFonts w:ascii="宋体" w:hAnsi="宋体"/>
                <w:szCs w:val="21"/>
              </w:rPr>
              <w:t>技术交易金额</w:t>
            </w:r>
            <w:r>
              <w:rPr>
                <w:rFonts w:hint="eastAsia" w:ascii="宋体" w:hAnsi="宋体"/>
                <w:szCs w:val="21"/>
              </w:rPr>
              <w:t>（万元</w:t>
            </w:r>
            <w:r>
              <w:rPr>
                <w:rFonts w:ascii="宋体" w:hAnsi="宋体"/>
                <w:szCs w:val="21"/>
              </w:rPr>
              <w:t>）</w:t>
            </w:r>
          </w:p>
        </w:tc>
        <w:tc>
          <w:tcPr>
            <w:tcW w:w="1559" w:type="dxa"/>
            <w:tcMar>
              <w:top w:w="0" w:type="dxa"/>
              <w:left w:w="0" w:type="dxa"/>
              <w:bottom w:w="0" w:type="dxa"/>
              <w:right w:w="0" w:type="dxa"/>
            </w:tcMar>
            <w:vAlign w:val="center"/>
          </w:tcPr>
          <w:p w14:paraId="4EE403A2">
            <w:pPr>
              <w:autoSpaceDN w:val="0"/>
              <w:jc w:val="center"/>
              <w:rPr>
                <w:rFonts w:ascii="宋体" w:hAnsi="宋体"/>
                <w:szCs w:val="21"/>
              </w:rPr>
            </w:pPr>
            <w:r>
              <w:rPr>
                <w:rFonts w:ascii="宋体" w:hAnsi="宋体"/>
                <w:szCs w:val="21"/>
              </w:rPr>
              <w:t>Ni≥1000</w:t>
            </w:r>
          </w:p>
        </w:tc>
        <w:tc>
          <w:tcPr>
            <w:tcW w:w="851" w:type="dxa"/>
            <w:tcMar>
              <w:top w:w="0" w:type="dxa"/>
              <w:left w:w="0" w:type="dxa"/>
              <w:bottom w:w="0" w:type="dxa"/>
              <w:right w:w="0" w:type="dxa"/>
            </w:tcMar>
            <w:vAlign w:val="center"/>
          </w:tcPr>
          <w:p w14:paraId="509A3EF3">
            <w:pPr>
              <w:autoSpaceDN w:val="0"/>
              <w:adjustRightInd w:val="0"/>
              <w:snapToGrid w:val="0"/>
              <w:jc w:val="center"/>
              <w:rPr>
                <w:rFonts w:ascii="宋体" w:hAnsi="宋体"/>
                <w:szCs w:val="21"/>
              </w:rPr>
            </w:pPr>
            <w:r>
              <w:rPr>
                <w:rFonts w:ascii="宋体" w:hAnsi="宋体"/>
                <w:szCs w:val="21"/>
              </w:rPr>
              <w:t>-</w:t>
            </w:r>
          </w:p>
        </w:tc>
      </w:tr>
      <w:tr w14:paraId="4A84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9DC1C72">
            <w:pPr>
              <w:jc w:val="center"/>
              <w:rPr>
                <w:rFonts w:ascii="宋体" w:hAnsi="宋体"/>
                <w:szCs w:val="21"/>
              </w:rPr>
            </w:pPr>
          </w:p>
        </w:tc>
        <w:tc>
          <w:tcPr>
            <w:tcW w:w="703" w:type="dxa"/>
            <w:vMerge w:val="continue"/>
            <w:tcMar>
              <w:top w:w="0" w:type="dxa"/>
              <w:left w:w="0" w:type="dxa"/>
              <w:bottom w:w="0" w:type="dxa"/>
              <w:right w:w="0" w:type="dxa"/>
            </w:tcMar>
            <w:vAlign w:val="center"/>
          </w:tcPr>
          <w:p w14:paraId="62F4958E">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17D8CBE4">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02C004DD">
            <w:pPr>
              <w:autoSpaceDN w:val="0"/>
              <w:jc w:val="center"/>
              <w:rPr>
                <w:rFonts w:ascii="宋体" w:hAnsi="宋体"/>
                <w:szCs w:val="21"/>
              </w:rPr>
            </w:pPr>
            <w:r>
              <w:rPr>
                <w:rFonts w:ascii="宋体" w:hAnsi="宋体"/>
                <w:szCs w:val="21"/>
              </w:rPr>
              <w:t>1000&gt; Ni≥50</w:t>
            </w:r>
          </w:p>
        </w:tc>
        <w:tc>
          <w:tcPr>
            <w:tcW w:w="851" w:type="dxa"/>
            <w:tcMar>
              <w:top w:w="0" w:type="dxa"/>
              <w:left w:w="0" w:type="dxa"/>
              <w:bottom w:w="0" w:type="dxa"/>
              <w:right w:w="0" w:type="dxa"/>
            </w:tcMar>
            <w:vAlign w:val="center"/>
          </w:tcPr>
          <w:p w14:paraId="26D5219C">
            <w:pPr>
              <w:autoSpaceDN w:val="0"/>
              <w:adjustRightInd w:val="0"/>
              <w:snapToGrid w:val="0"/>
              <w:jc w:val="center"/>
              <w:rPr>
                <w:rFonts w:ascii="宋体" w:hAnsi="宋体"/>
                <w:szCs w:val="21"/>
              </w:rPr>
            </w:pPr>
            <w:r>
              <w:rPr>
                <w:rFonts w:ascii="宋体" w:hAnsi="宋体"/>
                <w:szCs w:val="21"/>
              </w:rPr>
              <w:t>0.04</w:t>
            </w:r>
          </w:p>
        </w:tc>
      </w:tr>
      <w:tr w14:paraId="659C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0361AB66">
            <w:pPr>
              <w:jc w:val="center"/>
              <w:rPr>
                <w:rFonts w:ascii="宋体" w:hAnsi="宋体"/>
                <w:szCs w:val="21"/>
              </w:rPr>
            </w:pPr>
          </w:p>
        </w:tc>
        <w:tc>
          <w:tcPr>
            <w:tcW w:w="703" w:type="dxa"/>
            <w:vMerge w:val="continue"/>
            <w:tcMar>
              <w:top w:w="0" w:type="dxa"/>
              <w:left w:w="0" w:type="dxa"/>
              <w:bottom w:w="0" w:type="dxa"/>
              <w:right w:w="0" w:type="dxa"/>
            </w:tcMar>
            <w:vAlign w:val="center"/>
          </w:tcPr>
          <w:p w14:paraId="2EC3549D">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43DEC9CE">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B2BAFD5">
            <w:pPr>
              <w:autoSpaceDN w:val="0"/>
              <w:jc w:val="center"/>
              <w:rPr>
                <w:rFonts w:ascii="宋体" w:hAnsi="宋体"/>
                <w:szCs w:val="21"/>
              </w:rPr>
            </w:pPr>
            <w:r>
              <w:rPr>
                <w:rFonts w:hint="eastAsia" w:ascii="宋体" w:hAnsi="宋体"/>
                <w:szCs w:val="21"/>
              </w:rPr>
              <w:t>Ni&lt;</w:t>
            </w:r>
            <w:r>
              <w:rPr>
                <w:rFonts w:ascii="宋体" w:hAnsi="宋体"/>
                <w:szCs w:val="21"/>
              </w:rPr>
              <w:t>50</w:t>
            </w:r>
          </w:p>
        </w:tc>
        <w:tc>
          <w:tcPr>
            <w:tcW w:w="851" w:type="dxa"/>
            <w:tcMar>
              <w:top w:w="0" w:type="dxa"/>
              <w:left w:w="0" w:type="dxa"/>
              <w:bottom w:w="0" w:type="dxa"/>
              <w:right w:w="0" w:type="dxa"/>
            </w:tcMar>
            <w:vAlign w:val="center"/>
          </w:tcPr>
          <w:p w14:paraId="313FEB13">
            <w:pPr>
              <w:autoSpaceDN w:val="0"/>
              <w:adjustRightInd w:val="0"/>
              <w:snapToGrid w:val="0"/>
              <w:jc w:val="center"/>
              <w:rPr>
                <w:rFonts w:ascii="宋体" w:hAnsi="宋体"/>
                <w:szCs w:val="21"/>
              </w:rPr>
            </w:pPr>
            <w:r>
              <w:rPr>
                <w:rFonts w:hint="eastAsia" w:ascii="宋体" w:hAnsi="宋体"/>
                <w:szCs w:val="21"/>
              </w:rPr>
              <w:t>0</w:t>
            </w:r>
          </w:p>
        </w:tc>
      </w:tr>
    </w:tbl>
    <w:p w14:paraId="4DB38684"/>
    <w:p w14:paraId="035507E5"/>
    <w:p w14:paraId="33AD2BC4"/>
    <w:p w14:paraId="02DA5862"/>
    <w:p w14:paraId="38594735"/>
    <w:tbl>
      <w:tblPr>
        <w:tblStyle w:val="9"/>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3"/>
        <w:gridCol w:w="4116"/>
        <w:gridCol w:w="1559"/>
        <w:gridCol w:w="851"/>
      </w:tblGrid>
      <w:tr w14:paraId="3F38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37" w:type="dxa"/>
            <w:gridSpan w:val="2"/>
            <w:tcMar>
              <w:top w:w="0" w:type="dxa"/>
              <w:left w:w="0" w:type="dxa"/>
              <w:bottom w:w="0" w:type="dxa"/>
              <w:right w:w="0" w:type="dxa"/>
            </w:tcMar>
            <w:vAlign w:val="center"/>
          </w:tcPr>
          <w:p w14:paraId="6CFF4402">
            <w:pPr>
              <w:autoSpaceDN w:val="0"/>
              <w:jc w:val="center"/>
              <w:rPr>
                <w:rFonts w:ascii="宋体" w:hAnsi="宋体"/>
                <w:b/>
                <w:szCs w:val="21"/>
              </w:rPr>
            </w:pPr>
            <w:r>
              <w:rPr>
                <w:rFonts w:ascii="宋体" w:hAnsi="宋体"/>
                <w:b/>
                <w:szCs w:val="21"/>
              </w:rPr>
              <w:t>一级指标</w:t>
            </w:r>
          </w:p>
        </w:tc>
        <w:tc>
          <w:tcPr>
            <w:tcW w:w="5675" w:type="dxa"/>
            <w:gridSpan w:val="2"/>
            <w:tcMar>
              <w:top w:w="0" w:type="dxa"/>
              <w:left w:w="0" w:type="dxa"/>
              <w:bottom w:w="0" w:type="dxa"/>
              <w:right w:w="0" w:type="dxa"/>
            </w:tcMar>
            <w:vAlign w:val="center"/>
          </w:tcPr>
          <w:p w14:paraId="15FB2360">
            <w:pPr>
              <w:autoSpaceDN w:val="0"/>
              <w:jc w:val="center"/>
              <w:rPr>
                <w:rFonts w:ascii="宋体" w:hAnsi="宋体"/>
                <w:b/>
                <w:szCs w:val="21"/>
              </w:rPr>
            </w:pPr>
            <w:r>
              <w:rPr>
                <w:rFonts w:ascii="宋体" w:hAnsi="宋体"/>
                <w:b/>
                <w:szCs w:val="21"/>
              </w:rPr>
              <w:t>二级指标</w:t>
            </w:r>
          </w:p>
        </w:tc>
        <w:tc>
          <w:tcPr>
            <w:tcW w:w="851" w:type="dxa"/>
            <w:vMerge w:val="restart"/>
            <w:tcMar>
              <w:top w:w="0" w:type="dxa"/>
              <w:left w:w="0" w:type="dxa"/>
              <w:bottom w:w="0" w:type="dxa"/>
              <w:right w:w="0" w:type="dxa"/>
            </w:tcMar>
            <w:vAlign w:val="center"/>
          </w:tcPr>
          <w:p w14:paraId="6D3BC872">
            <w:pPr>
              <w:autoSpaceDN w:val="0"/>
              <w:jc w:val="center"/>
              <w:rPr>
                <w:rFonts w:ascii="宋体" w:hAnsi="宋体"/>
                <w:b/>
                <w:szCs w:val="21"/>
              </w:rPr>
            </w:pPr>
            <w:r>
              <w:rPr>
                <w:rFonts w:hint="eastAsia" w:ascii="宋体" w:hAnsi="宋体"/>
                <w:b/>
                <w:szCs w:val="21"/>
              </w:rPr>
              <w:t>变换</w:t>
            </w:r>
            <w:r>
              <w:rPr>
                <w:rFonts w:ascii="宋体" w:hAnsi="宋体"/>
                <w:b/>
                <w:szCs w:val="21"/>
              </w:rPr>
              <w:t>值</w:t>
            </w:r>
            <w:r>
              <w:rPr>
                <w:rFonts w:hint="eastAsia" w:ascii="宋体" w:hAnsi="宋体"/>
                <w:b/>
                <w:szCs w:val="21"/>
              </w:rPr>
              <w:t>（</w:t>
            </w:r>
            <w:r>
              <w:rPr>
                <w:rFonts w:ascii="宋体" w:hAnsi="宋体"/>
                <w:b/>
                <w:szCs w:val="21"/>
              </w:rPr>
              <w:t>Ki）</w:t>
            </w:r>
          </w:p>
        </w:tc>
      </w:tr>
      <w:tr w14:paraId="6B21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Mar>
              <w:top w:w="0" w:type="dxa"/>
              <w:left w:w="0" w:type="dxa"/>
              <w:bottom w:w="0" w:type="dxa"/>
              <w:right w:w="0" w:type="dxa"/>
            </w:tcMar>
            <w:vAlign w:val="center"/>
          </w:tcPr>
          <w:p w14:paraId="5529FC17">
            <w:pPr>
              <w:autoSpaceDN w:val="0"/>
              <w:jc w:val="center"/>
              <w:rPr>
                <w:rFonts w:ascii="宋体" w:hAnsi="宋体"/>
                <w:b/>
                <w:bCs/>
                <w:szCs w:val="21"/>
              </w:rPr>
            </w:pPr>
            <w:r>
              <w:rPr>
                <w:rFonts w:ascii="宋体" w:hAnsi="宋体"/>
                <w:b/>
                <w:bCs/>
                <w:szCs w:val="21"/>
              </w:rPr>
              <w:t>名称</w:t>
            </w:r>
          </w:p>
        </w:tc>
        <w:tc>
          <w:tcPr>
            <w:tcW w:w="703" w:type="dxa"/>
            <w:tcMar>
              <w:top w:w="0" w:type="dxa"/>
              <w:left w:w="0" w:type="dxa"/>
              <w:bottom w:w="0" w:type="dxa"/>
              <w:right w:w="0" w:type="dxa"/>
            </w:tcMar>
            <w:vAlign w:val="center"/>
          </w:tcPr>
          <w:p w14:paraId="09E7C97F">
            <w:pPr>
              <w:autoSpaceDN w:val="0"/>
              <w:jc w:val="center"/>
              <w:rPr>
                <w:rFonts w:ascii="宋体" w:hAnsi="宋体"/>
                <w:b/>
                <w:bCs/>
                <w:szCs w:val="21"/>
              </w:rPr>
            </w:pPr>
            <w:r>
              <w:rPr>
                <w:rFonts w:hint="eastAsia" w:ascii="宋体" w:hAnsi="宋体"/>
                <w:b/>
                <w:bCs/>
                <w:szCs w:val="21"/>
              </w:rPr>
              <w:t>分值（</w:t>
            </w:r>
            <w:r>
              <w:rPr>
                <w:rFonts w:ascii="宋体" w:hAnsi="宋体"/>
                <w:b/>
                <w:bCs/>
                <w:szCs w:val="21"/>
              </w:rPr>
              <w:t>Mi</w:t>
            </w:r>
            <w:r>
              <w:rPr>
                <w:rFonts w:hint="eastAsia" w:ascii="宋体" w:hAnsi="宋体"/>
                <w:b/>
                <w:bCs/>
                <w:szCs w:val="21"/>
              </w:rPr>
              <w:t>）</w:t>
            </w:r>
          </w:p>
        </w:tc>
        <w:tc>
          <w:tcPr>
            <w:tcW w:w="4116" w:type="dxa"/>
            <w:tcMar>
              <w:top w:w="0" w:type="dxa"/>
              <w:left w:w="0" w:type="dxa"/>
              <w:bottom w:w="0" w:type="dxa"/>
              <w:right w:w="0" w:type="dxa"/>
            </w:tcMar>
            <w:vAlign w:val="center"/>
          </w:tcPr>
          <w:p w14:paraId="36D180EE">
            <w:pPr>
              <w:autoSpaceDN w:val="0"/>
              <w:jc w:val="center"/>
              <w:rPr>
                <w:rFonts w:ascii="宋体" w:hAnsi="宋体"/>
                <w:b/>
                <w:bCs/>
                <w:szCs w:val="21"/>
              </w:rPr>
            </w:pPr>
            <w:r>
              <w:rPr>
                <w:rFonts w:ascii="宋体" w:hAnsi="宋体"/>
                <w:b/>
                <w:bCs/>
                <w:szCs w:val="21"/>
              </w:rPr>
              <w:t>名称</w:t>
            </w:r>
          </w:p>
        </w:tc>
        <w:tc>
          <w:tcPr>
            <w:tcW w:w="1559" w:type="dxa"/>
            <w:tcMar>
              <w:top w:w="0" w:type="dxa"/>
              <w:left w:w="0" w:type="dxa"/>
              <w:bottom w:w="0" w:type="dxa"/>
              <w:right w:w="0" w:type="dxa"/>
            </w:tcMar>
            <w:vAlign w:val="center"/>
          </w:tcPr>
          <w:p w14:paraId="140D97C1">
            <w:pPr>
              <w:autoSpaceDN w:val="0"/>
              <w:adjustRightInd w:val="0"/>
              <w:snapToGrid w:val="0"/>
              <w:jc w:val="center"/>
              <w:rPr>
                <w:rFonts w:ascii="宋体" w:hAnsi="宋体"/>
                <w:b/>
                <w:bCs/>
                <w:szCs w:val="21"/>
              </w:rPr>
            </w:pPr>
            <w:r>
              <w:rPr>
                <w:rFonts w:hint="eastAsia" w:ascii="宋体" w:hAnsi="宋体"/>
                <w:b/>
                <w:bCs/>
                <w:szCs w:val="21"/>
              </w:rPr>
              <w:t>取值范围（</w:t>
            </w:r>
            <w:r>
              <w:rPr>
                <w:rFonts w:ascii="宋体" w:hAnsi="宋体"/>
                <w:b/>
                <w:bCs/>
                <w:szCs w:val="21"/>
              </w:rPr>
              <w:t>Ni）</w:t>
            </w:r>
          </w:p>
        </w:tc>
        <w:tc>
          <w:tcPr>
            <w:tcW w:w="851" w:type="dxa"/>
            <w:vMerge w:val="continue"/>
            <w:tcMar>
              <w:top w:w="0" w:type="dxa"/>
              <w:left w:w="0" w:type="dxa"/>
              <w:bottom w:w="0" w:type="dxa"/>
              <w:right w:w="0" w:type="dxa"/>
            </w:tcMar>
            <w:vAlign w:val="center"/>
          </w:tcPr>
          <w:p w14:paraId="57514981">
            <w:pPr>
              <w:autoSpaceDN w:val="0"/>
              <w:adjustRightInd w:val="0"/>
              <w:snapToGrid w:val="0"/>
              <w:jc w:val="center"/>
              <w:rPr>
                <w:rFonts w:ascii="宋体" w:hAnsi="宋体"/>
                <w:b/>
                <w:bCs/>
                <w:szCs w:val="21"/>
              </w:rPr>
            </w:pPr>
          </w:p>
        </w:tc>
      </w:tr>
      <w:tr w14:paraId="6EBB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464F15CE">
            <w:pPr>
              <w:jc w:val="center"/>
              <w:rPr>
                <w:rFonts w:ascii="宋体" w:hAnsi="宋体"/>
                <w:szCs w:val="21"/>
              </w:rPr>
            </w:pPr>
            <w:r>
              <w:rPr>
                <w:rFonts w:ascii="宋体" w:hAnsi="宋体"/>
                <w:szCs w:val="21"/>
              </w:rPr>
              <w:t>4.</w:t>
            </w:r>
            <w:r>
              <w:rPr>
                <w:rFonts w:hint="eastAsia" w:ascii="宋体" w:hAnsi="宋体"/>
                <w:szCs w:val="21"/>
              </w:rPr>
              <w:t>技术</w:t>
            </w:r>
            <w:r>
              <w:rPr>
                <w:rFonts w:ascii="宋体" w:hAnsi="宋体"/>
                <w:szCs w:val="21"/>
              </w:rPr>
              <w:t>转让</w:t>
            </w:r>
            <w:r>
              <w:rPr>
                <w:rFonts w:hint="eastAsia" w:ascii="宋体" w:hAnsi="宋体"/>
                <w:szCs w:val="21"/>
              </w:rPr>
              <w:t>、许可服务</w:t>
            </w:r>
          </w:p>
        </w:tc>
        <w:tc>
          <w:tcPr>
            <w:tcW w:w="703" w:type="dxa"/>
            <w:vMerge w:val="restart"/>
            <w:tcMar>
              <w:top w:w="0" w:type="dxa"/>
              <w:left w:w="0" w:type="dxa"/>
              <w:bottom w:w="0" w:type="dxa"/>
              <w:right w:w="0" w:type="dxa"/>
            </w:tcMar>
            <w:vAlign w:val="center"/>
          </w:tcPr>
          <w:p w14:paraId="15E3DACB">
            <w:pPr>
              <w:autoSpaceDN w:val="0"/>
              <w:jc w:val="center"/>
              <w:rPr>
                <w:rFonts w:ascii="宋体" w:hAnsi="宋体"/>
                <w:szCs w:val="21"/>
              </w:rPr>
            </w:pPr>
            <w:r>
              <w:rPr>
                <w:rFonts w:hint="eastAsia" w:ascii="宋体" w:hAnsi="宋体"/>
                <w:szCs w:val="21"/>
              </w:rPr>
              <w:t>10</w:t>
            </w:r>
          </w:p>
        </w:tc>
        <w:tc>
          <w:tcPr>
            <w:tcW w:w="4116" w:type="dxa"/>
            <w:vMerge w:val="restart"/>
            <w:tcMar>
              <w:top w:w="0" w:type="dxa"/>
              <w:left w:w="0" w:type="dxa"/>
              <w:bottom w:w="0" w:type="dxa"/>
              <w:right w:w="0" w:type="dxa"/>
            </w:tcMar>
            <w:vAlign w:val="center"/>
          </w:tcPr>
          <w:p w14:paraId="6D3CE992">
            <w:pPr>
              <w:autoSpaceDN w:val="0"/>
              <w:rPr>
                <w:rFonts w:ascii="宋体" w:hAnsi="宋体"/>
                <w:szCs w:val="21"/>
              </w:rPr>
            </w:pPr>
            <w:r>
              <w:rPr>
                <w:rFonts w:hint="eastAsia" w:ascii="宋体" w:hAnsi="宋体"/>
                <w:szCs w:val="21"/>
              </w:rPr>
              <w:t>4.3 服务收入（万元</w:t>
            </w:r>
            <w:r>
              <w:rPr>
                <w:rFonts w:ascii="宋体" w:hAnsi="宋体"/>
                <w:szCs w:val="21"/>
              </w:rPr>
              <w:t>）</w:t>
            </w:r>
          </w:p>
        </w:tc>
        <w:tc>
          <w:tcPr>
            <w:tcW w:w="1559" w:type="dxa"/>
            <w:tcMar>
              <w:top w:w="0" w:type="dxa"/>
              <w:left w:w="0" w:type="dxa"/>
              <w:bottom w:w="0" w:type="dxa"/>
              <w:right w:w="0" w:type="dxa"/>
            </w:tcMar>
            <w:vAlign w:val="center"/>
          </w:tcPr>
          <w:p w14:paraId="1B7DC8CE">
            <w:pPr>
              <w:autoSpaceDN w:val="0"/>
              <w:jc w:val="center"/>
              <w:rPr>
                <w:rFonts w:ascii="宋体" w:hAnsi="宋体"/>
                <w:szCs w:val="21"/>
              </w:rPr>
            </w:pPr>
            <w:r>
              <w:rPr>
                <w:rFonts w:ascii="宋体" w:hAnsi="宋体"/>
                <w:szCs w:val="21"/>
              </w:rPr>
              <w:t>Ni≥50</w:t>
            </w:r>
          </w:p>
        </w:tc>
        <w:tc>
          <w:tcPr>
            <w:tcW w:w="851" w:type="dxa"/>
            <w:tcMar>
              <w:top w:w="0" w:type="dxa"/>
              <w:left w:w="0" w:type="dxa"/>
              <w:bottom w:w="0" w:type="dxa"/>
              <w:right w:w="0" w:type="dxa"/>
            </w:tcMar>
            <w:vAlign w:val="center"/>
          </w:tcPr>
          <w:p w14:paraId="7D3BC4CC">
            <w:pPr>
              <w:autoSpaceDN w:val="0"/>
              <w:adjustRightInd w:val="0"/>
              <w:snapToGrid w:val="0"/>
              <w:jc w:val="center"/>
              <w:rPr>
                <w:rFonts w:ascii="宋体" w:hAnsi="宋体"/>
                <w:szCs w:val="21"/>
              </w:rPr>
            </w:pPr>
            <w:r>
              <w:rPr>
                <w:rFonts w:ascii="宋体" w:hAnsi="宋体"/>
                <w:szCs w:val="21"/>
              </w:rPr>
              <w:t>-</w:t>
            </w:r>
          </w:p>
        </w:tc>
      </w:tr>
      <w:tr w14:paraId="6B6C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95A1ADD">
            <w:pPr>
              <w:jc w:val="center"/>
              <w:rPr>
                <w:rFonts w:ascii="宋体" w:hAnsi="宋体"/>
                <w:szCs w:val="21"/>
              </w:rPr>
            </w:pPr>
          </w:p>
        </w:tc>
        <w:tc>
          <w:tcPr>
            <w:tcW w:w="703" w:type="dxa"/>
            <w:vMerge w:val="continue"/>
            <w:tcMar>
              <w:top w:w="0" w:type="dxa"/>
              <w:left w:w="0" w:type="dxa"/>
              <w:bottom w:w="0" w:type="dxa"/>
              <w:right w:w="0" w:type="dxa"/>
            </w:tcMar>
            <w:vAlign w:val="center"/>
          </w:tcPr>
          <w:p w14:paraId="3148668A">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E4CFEFD">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DCFC760">
            <w:pPr>
              <w:autoSpaceDN w:val="0"/>
              <w:jc w:val="center"/>
              <w:rPr>
                <w:rFonts w:ascii="宋体" w:hAnsi="宋体"/>
                <w:szCs w:val="21"/>
              </w:rPr>
            </w:pPr>
            <w:r>
              <w:rPr>
                <w:rFonts w:ascii="宋体" w:hAnsi="宋体"/>
                <w:szCs w:val="21"/>
              </w:rPr>
              <w:t>50&gt; Ni≥20</w:t>
            </w:r>
          </w:p>
        </w:tc>
        <w:tc>
          <w:tcPr>
            <w:tcW w:w="851" w:type="dxa"/>
            <w:tcMar>
              <w:top w:w="0" w:type="dxa"/>
              <w:left w:w="0" w:type="dxa"/>
              <w:bottom w:w="0" w:type="dxa"/>
              <w:right w:w="0" w:type="dxa"/>
            </w:tcMar>
            <w:vAlign w:val="center"/>
          </w:tcPr>
          <w:p w14:paraId="1F2E5F2F">
            <w:pPr>
              <w:autoSpaceDN w:val="0"/>
              <w:adjustRightInd w:val="0"/>
              <w:snapToGrid w:val="0"/>
              <w:jc w:val="center"/>
              <w:rPr>
                <w:rFonts w:ascii="宋体" w:hAnsi="宋体"/>
                <w:szCs w:val="21"/>
              </w:rPr>
            </w:pPr>
            <w:r>
              <w:rPr>
                <w:rFonts w:ascii="宋体" w:hAnsi="宋体"/>
                <w:szCs w:val="21"/>
              </w:rPr>
              <w:t>0.2</w:t>
            </w:r>
          </w:p>
        </w:tc>
      </w:tr>
      <w:tr w14:paraId="5F00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5F5A3D11">
            <w:pPr>
              <w:jc w:val="center"/>
              <w:rPr>
                <w:rFonts w:ascii="宋体" w:hAnsi="宋体"/>
                <w:szCs w:val="21"/>
              </w:rPr>
            </w:pPr>
          </w:p>
        </w:tc>
        <w:tc>
          <w:tcPr>
            <w:tcW w:w="703" w:type="dxa"/>
            <w:vMerge w:val="continue"/>
            <w:tcMar>
              <w:top w:w="0" w:type="dxa"/>
              <w:left w:w="0" w:type="dxa"/>
              <w:bottom w:w="0" w:type="dxa"/>
              <w:right w:w="0" w:type="dxa"/>
            </w:tcMar>
            <w:vAlign w:val="center"/>
          </w:tcPr>
          <w:p w14:paraId="740C86A9">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40E71131">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0501F75">
            <w:pPr>
              <w:autoSpaceDN w:val="0"/>
              <w:jc w:val="center"/>
              <w:rPr>
                <w:rFonts w:ascii="宋体" w:hAnsi="宋体"/>
                <w:szCs w:val="21"/>
              </w:rPr>
            </w:pPr>
            <w:r>
              <w:rPr>
                <w:rFonts w:hint="eastAsia" w:ascii="宋体" w:hAnsi="宋体"/>
                <w:szCs w:val="21"/>
              </w:rPr>
              <w:t>Ni&lt;</w:t>
            </w:r>
            <w:r>
              <w:rPr>
                <w:rFonts w:ascii="宋体" w:hAnsi="宋体"/>
                <w:szCs w:val="21"/>
              </w:rPr>
              <w:t>20</w:t>
            </w:r>
          </w:p>
        </w:tc>
        <w:tc>
          <w:tcPr>
            <w:tcW w:w="851" w:type="dxa"/>
            <w:tcMar>
              <w:top w:w="0" w:type="dxa"/>
              <w:left w:w="0" w:type="dxa"/>
              <w:bottom w:w="0" w:type="dxa"/>
              <w:right w:w="0" w:type="dxa"/>
            </w:tcMar>
            <w:vAlign w:val="center"/>
          </w:tcPr>
          <w:p w14:paraId="276DC7BC">
            <w:pPr>
              <w:autoSpaceDN w:val="0"/>
              <w:adjustRightInd w:val="0"/>
              <w:snapToGrid w:val="0"/>
              <w:jc w:val="center"/>
              <w:rPr>
                <w:rFonts w:ascii="宋体" w:hAnsi="宋体"/>
                <w:szCs w:val="21"/>
              </w:rPr>
            </w:pPr>
            <w:r>
              <w:rPr>
                <w:rFonts w:hint="eastAsia" w:ascii="宋体" w:hAnsi="宋体"/>
                <w:szCs w:val="21"/>
              </w:rPr>
              <w:t>0</w:t>
            </w:r>
          </w:p>
        </w:tc>
      </w:tr>
      <w:tr w14:paraId="6254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7ABCE1E4">
            <w:pPr>
              <w:autoSpaceDN w:val="0"/>
              <w:jc w:val="center"/>
              <w:rPr>
                <w:rFonts w:ascii="宋体" w:hAnsi="宋体"/>
                <w:szCs w:val="21"/>
              </w:rPr>
            </w:pPr>
            <w:r>
              <w:rPr>
                <w:rFonts w:ascii="宋体" w:hAnsi="宋体"/>
                <w:szCs w:val="21"/>
              </w:rPr>
              <w:t>5</w:t>
            </w:r>
            <w:r>
              <w:rPr>
                <w:rFonts w:hint="eastAsia" w:ascii="宋体" w:hAnsi="宋体"/>
                <w:szCs w:val="21"/>
              </w:rPr>
              <w:t>.技术咨询、</w:t>
            </w:r>
            <w:r>
              <w:rPr>
                <w:rFonts w:ascii="宋体" w:hAnsi="宋体"/>
                <w:szCs w:val="21"/>
              </w:rPr>
              <w:t>评价</w:t>
            </w:r>
            <w:r>
              <w:rPr>
                <w:rFonts w:hint="eastAsia" w:ascii="宋体" w:hAnsi="宋体"/>
                <w:szCs w:val="21"/>
              </w:rPr>
              <w:t>等服务</w:t>
            </w:r>
          </w:p>
        </w:tc>
        <w:tc>
          <w:tcPr>
            <w:tcW w:w="703" w:type="dxa"/>
            <w:vMerge w:val="restart"/>
            <w:tcMar>
              <w:top w:w="0" w:type="dxa"/>
              <w:left w:w="0" w:type="dxa"/>
              <w:bottom w:w="0" w:type="dxa"/>
              <w:right w:w="0" w:type="dxa"/>
            </w:tcMar>
            <w:vAlign w:val="center"/>
          </w:tcPr>
          <w:p w14:paraId="49B68253">
            <w:pPr>
              <w:autoSpaceDN w:val="0"/>
              <w:jc w:val="center"/>
              <w:rPr>
                <w:rFonts w:ascii="宋体" w:hAnsi="宋体"/>
                <w:szCs w:val="21"/>
              </w:rPr>
            </w:pPr>
            <w:r>
              <w:rPr>
                <w:rFonts w:ascii="宋体" w:hAnsi="宋体"/>
                <w:szCs w:val="21"/>
              </w:rPr>
              <w:t>2</w:t>
            </w:r>
            <w:r>
              <w:rPr>
                <w:rFonts w:hint="eastAsia" w:ascii="宋体" w:hAnsi="宋体"/>
                <w:szCs w:val="21"/>
              </w:rPr>
              <w:t>0</w:t>
            </w:r>
          </w:p>
        </w:tc>
        <w:tc>
          <w:tcPr>
            <w:tcW w:w="4116" w:type="dxa"/>
            <w:vMerge w:val="restart"/>
            <w:tcMar>
              <w:top w:w="0" w:type="dxa"/>
              <w:left w:w="0" w:type="dxa"/>
              <w:bottom w:w="0" w:type="dxa"/>
              <w:right w:w="0" w:type="dxa"/>
            </w:tcMar>
            <w:vAlign w:val="center"/>
          </w:tcPr>
          <w:p w14:paraId="125EED24">
            <w:pPr>
              <w:autoSpaceDN w:val="0"/>
              <w:rPr>
                <w:rFonts w:ascii="宋体" w:hAnsi="宋体"/>
                <w:szCs w:val="21"/>
              </w:rPr>
            </w:pPr>
            <w:r>
              <w:rPr>
                <w:rFonts w:ascii="宋体" w:hAnsi="宋体"/>
                <w:szCs w:val="21"/>
              </w:rPr>
              <w:t>5.1</w:t>
            </w:r>
            <w:r>
              <w:rPr>
                <w:rFonts w:hint="eastAsia" w:ascii="宋体" w:hAnsi="宋体"/>
                <w:szCs w:val="21"/>
              </w:rPr>
              <w:t xml:space="preserve"> 签订技术咨询、</w:t>
            </w:r>
            <w:r>
              <w:rPr>
                <w:rFonts w:ascii="宋体" w:hAnsi="宋体"/>
                <w:szCs w:val="21"/>
              </w:rPr>
              <w:t>评价</w:t>
            </w:r>
            <w:r>
              <w:rPr>
                <w:rFonts w:hint="eastAsia" w:ascii="宋体" w:hAnsi="宋体"/>
                <w:szCs w:val="21"/>
              </w:rPr>
              <w:t>等合同数</w:t>
            </w:r>
          </w:p>
        </w:tc>
        <w:tc>
          <w:tcPr>
            <w:tcW w:w="1559" w:type="dxa"/>
            <w:tcMar>
              <w:top w:w="0" w:type="dxa"/>
              <w:left w:w="0" w:type="dxa"/>
              <w:bottom w:w="0" w:type="dxa"/>
              <w:right w:w="0" w:type="dxa"/>
            </w:tcMar>
            <w:vAlign w:val="center"/>
          </w:tcPr>
          <w:p w14:paraId="36BF3C26">
            <w:pPr>
              <w:autoSpaceDN w:val="0"/>
              <w:jc w:val="center"/>
              <w:rPr>
                <w:rFonts w:ascii="宋体" w:hAnsi="宋体"/>
                <w:szCs w:val="21"/>
              </w:rPr>
            </w:pPr>
            <w:r>
              <w:rPr>
                <w:rFonts w:ascii="宋体" w:hAnsi="宋体"/>
                <w:szCs w:val="21"/>
              </w:rPr>
              <w:t>Ni≥2</w:t>
            </w:r>
            <w:r>
              <w:rPr>
                <w:rFonts w:hint="eastAsia" w:ascii="宋体" w:hAnsi="宋体"/>
                <w:szCs w:val="21"/>
              </w:rPr>
              <w:t>0</w:t>
            </w:r>
          </w:p>
        </w:tc>
        <w:tc>
          <w:tcPr>
            <w:tcW w:w="851" w:type="dxa"/>
            <w:tcMar>
              <w:top w:w="0" w:type="dxa"/>
              <w:left w:w="0" w:type="dxa"/>
              <w:bottom w:w="0" w:type="dxa"/>
              <w:right w:w="0" w:type="dxa"/>
            </w:tcMar>
            <w:vAlign w:val="center"/>
          </w:tcPr>
          <w:p w14:paraId="7F386B8B">
            <w:pPr>
              <w:autoSpaceDN w:val="0"/>
              <w:adjustRightInd w:val="0"/>
              <w:snapToGrid w:val="0"/>
              <w:jc w:val="center"/>
              <w:rPr>
                <w:rFonts w:ascii="宋体" w:hAnsi="宋体"/>
                <w:szCs w:val="21"/>
              </w:rPr>
            </w:pPr>
            <w:r>
              <w:rPr>
                <w:rFonts w:ascii="宋体" w:hAnsi="宋体"/>
                <w:szCs w:val="21"/>
              </w:rPr>
              <w:t>-</w:t>
            </w:r>
          </w:p>
        </w:tc>
      </w:tr>
      <w:tr w14:paraId="0402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72AFFF9">
            <w:pPr>
              <w:jc w:val="center"/>
              <w:rPr>
                <w:rFonts w:ascii="宋体" w:hAnsi="宋体"/>
                <w:szCs w:val="21"/>
              </w:rPr>
            </w:pPr>
          </w:p>
        </w:tc>
        <w:tc>
          <w:tcPr>
            <w:tcW w:w="703" w:type="dxa"/>
            <w:vMerge w:val="continue"/>
            <w:tcMar>
              <w:top w:w="0" w:type="dxa"/>
              <w:left w:w="0" w:type="dxa"/>
              <w:bottom w:w="0" w:type="dxa"/>
              <w:right w:w="0" w:type="dxa"/>
            </w:tcMar>
            <w:vAlign w:val="center"/>
          </w:tcPr>
          <w:p w14:paraId="7FAE2E5D">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7293620C">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58F79A53">
            <w:pPr>
              <w:autoSpaceDN w:val="0"/>
              <w:jc w:val="center"/>
              <w:rPr>
                <w:rFonts w:ascii="宋体" w:hAnsi="宋体"/>
                <w:szCs w:val="21"/>
              </w:rPr>
            </w:pPr>
            <w:r>
              <w:rPr>
                <w:rFonts w:ascii="宋体" w:hAnsi="宋体"/>
                <w:szCs w:val="21"/>
              </w:rPr>
              <w:t>20&gt; Ni≥5</w:t>
            </w:r>
          </w:p>
        </w:tc>
        <w:tc>
          <w:tcPr>
            <w:tcW w:w="851" w:type="dxa"/>
            <w:tcMar>
              <w:top w:w="0" w:type="dxa"/>
              <w:left w:w="0" w:type="dxa"/>
              <w:bottom w:w="0" w:type="dxa"/>
              <w:right w:w="0" w:type="dxa"/>
            </w:tcMar>
            <w:vAlign w:val="center"/>
          </w:tcPr>
          <w:p w14:paraId="23E36FDC">
            <w:pPr>
              <w:autoSpaceDN w:val="0"/>
              <w:adjustRightInd w:val="0"/>
              <w:snapToGrid w:val="0"/>
              <w:jc w:val="center"/>
              <w:rPr>
                <w:rFonts w:ascii="宋体" w:hAnsi="宋体"/>
                <w:szCs w:val="21"/>
              </w:rPr>
            </w:pPr>
            <w:r>
              <w:rPr>
                <w:rFonts w:ascii="宋体" w:hAnsi="宋体"/>
                <w:szCs w:val="21"/>
              </w:rPr>
              <w:t>1</w:t>
            </w:r>
          </w:p>
        </w:tc>
      </w:tr>
      <w:tr w14:paraId="67A7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7F357AA">
            <w:pPr>
              <w:jc w:val="center"/>
              <w:rPr>
                <w:rFonts w:ascii="宋体" w:hAnsi="宋体"/>
                <w:szCs w:val="21"/>
              </w:rPr>
            </w:pPr>
          </w:p>
        </w:tc>
        <w:tc>
          <w:tcPr>
            <w:tcW w:w="703" w:type="dxa"/>
            <w:vMerge w:val="continue"/>
            <w:tcMar>
              <w:top w:w="0" w:type="dxa"/>
              <w:left w:w="0" w:type="dxa"/>
              <w:bottom w:w="0" w:type="dxa"/>
              <w:right w:w="0" w:type="dxa"/>
            </w:tcMar>
            <w:vAlign w:val="center"/>
          </w:tcPr>
          <w:p w14:paraId="3A5B2D7D">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4037831C">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03A8ECE0">
            <w:pPr>
              <w:autoSpaceDN w:val="0"/>
              <w:jc w:val="center"/>
              <w:rPr>
                <w:rFonts w:ascii="宋体" w:hAnsi="宋体"/>
                <w:szCs w:val="21"/>
              </w:rPr>
            </w:pPr>
            <w:r>
              <w:rPr>
                <w:rFonts w:hint="eastAsia" w:ascii="宋体" w:hAnsi="宋体"/>
                <w:szCs w:val="21"/>
              </w:rPr>
              <w:t>Ni&lt;</w:t>
            </w:r>
            <w:r>
              <w:rPr>
                <w:rFonts w:ascii="宋体" w:hAnsi="宋体"/>
                <w:szCs w:val="21"/>
              </w:rPr>
              <w:t>5</w:t>
            </w:r>
          </w:p>
        </w:tc>
        <w:tc>
          <w:tcPr>
            <w:tcW w:w="851" w:type="dxa"/>
            <w:tcMar>
              <w:top w:w="0" w:type="dxa"/>
              <w:left w:w="0" w:type="dxa"/>
              <w:bottom w:w="0" w:type="dxa"/>
              <w:right w:w="0" w:type="dxa"/>
            </w:tcMar>
            <w:vAlign w:val="center"/>
          </w:tcPr>
          <w:p w14:paraId="1F6AE5D6">
            <w:pPr>
              <w:autoSpaceDN w:val="0"/>
              <w:adjustRightInd w:val="0"/>
              <w:snapToGrid w:val="0"/>
              <w:jc w:val="center"/>
              <w:rPr>
                <w:rFonts w:ascii="宋体" w:hAnsi="宋体"/>
                <w:szCs w:val="21"/>
              </w:rPr>
            </w:pPr>
            <w:r>
              <w:rPr>
                <w:rFonts w:hint="eastAsia" w:ascii="宋体" w:hAnsi="宋体"/>
                <w:szCs w:val="21"/>
              </w:rPr>
              <w:t>0</w:t>
            </w:r>
          </w:p>
        </w:tc>
      </w:tr>
      <w:tr w14:paraId="1788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37251458">
            <w:pPr>
              <w:jc w:val="center"/>
              <w:rPr>
                <w:rFonts w:ascii="宋体" w:hAnsi="宋体"/>
                <w:szCs w:val="21"/>
              </w:rPr>
            </w:pPr>
          </w:p>
        </w:tc>
        <w:tc>
          <w:tcPr>
            <w:tcW w:w="703" w:type="dxa"/>
            <w:vMerge w:val="restart"/>
            <w:tcMar>
              <w:top w:w="0" w:type="dxa"/>
              <w:left w:w="0" w:type="dxa"/>
              <w:bottom w:w="0" w:type="dxa"/>
              <w:right w:w="0" w:type="dxa"/>
            </w:tcMar>
            <w:vAlign w:val="center"/>
          </w:tcPr>
          <w:p w14:paraId="14B5B978">
            <w:pPr>
              <w:autoSpaceDN w:val="0"/>
              <w:jc w:val="center"/>
              <w:rPr>
                <w:rFonts w:ascii="宋体" w:hAnsi="宋体"/>
                <w:szCs w:val="21"/>
              </w:rPr>
            </w:pPr>
            <w:r>
              <w:rPr>
                <w:rFonts w:ascii="宋体" w:hAnsi="宋体"/>
                <w:szCs w:val="21"/>
              </w:rPr>
              <w:t>5</w:t>
            </w:r>
            <w:r>
              <w:rPr>
                <w:rFonts w:hint="eastAsia" w:ascii="宋体" w:hAnsi="宋体"/>
                <w:szCs w:val="21"/>
              </w:rPr>
              <w:t>0</w:t>
            </w:r>
          </w:p>
        </w:tc>
        <w:tc>
          <w:tcPr>
            <w:tcW w:w="4116" w:type="dxa"/>
            <w:vMerge w:val="restart"/>
            <w:tcMar>
              <w:top w:w="0" w:type="dxa"/>
              <w:left w:w="0" w:type="dxa"/>
              <w:bottom w:w="0" w:type="dxa"/>
              <w:right w:w="0" w:type="dxa"/>
            </w:tcMar>
            <w:vAlign w:val="center"/>
          </w:tcPr>
          <w:p w14:paraId="1955E838">
            <w:pPr>
              <w:autoSpaceDN w:val="0"/>
              <w:rPr>
                <w:rFonts w:ascii="宋体" w:hAnsi="宋体"/>
                <w:szCs w:val="21"/>
              </w:rPr>
            </w:pPr>
            <w:r>
              <w:rPr>
                <w:rFonts w:hint="eastAsia" w:ascii="宋体" w:hAnsi="宋体"/>
                <w:szCs w:val="21"/>
              </w:rPr>
              <w:t>5.2 服务收入（万元</w:t>
            </w:r>
            <w:r>
              <w:rPr>
                <w:rFonts w:ascii="宋体" w:hAnsi="宋体"/>
                <w:szCs w:val="21"/>
              </w:rPr>
              <w:t>）</w:t>
            </w:r>
          </w:p>
        </w:tc>
        <w:tc>
          <w:tcPr>
            <w:tcW w:w="1559" w:type="dxa"/>
            <w:tcMar>
              <w:top w:w="0" w:type="dxa"/>
              <w:left w:w="0" w:type="dxa"/>
              <w:bottom w:w="0" w:type="dxa"/>
              <w:right w:w="0" w:type="dxa"/>
            </w:tcMar>
            <w:vAlign w:val="center"/>
          </w:tcPr>
          <w:p w14:paraId="28E2B247">
            <w:pPr>
              <w:autoSpaceDN w:val="0"/>
              <w:jc w:val="center"/>
              <w:rPr>
                <w:rFonts w:ascii="宋体" w:hAnsi="宋体"/>
                <w:szCs w:val="21"/>
              </w:rPr>
            </w:pPr>
            <w:r>
              <w:rPr>
                <w:rFonts w:ascii="宋体" w:hAnsi="宋体"/>
                <w:szCs w:val="21"/>
              </w:rPr>
              <w:t>Ni≥100</w:t>
            </w:r>
          </w:p>
        </w:tc>
        <w:tc>
          <w:tcPr>
            <w:tcW w:w="851" w:type="dxa"/>
            <w:tcMar>
              <w:top w:w="0" w:type="dxa"/>
              <w:left w:w="0" w:type="dxa"/>
              <w:bottom w:w="0" w:type="dxa"/>
              <w:right w:w="0" w:type="dxa"/>
            </w:tcMar>
            <w:vAlign w:val="center"/>
          </w:tcPr>
          <w:p w14:paraId="763616F0">
            <w:pPr>
              <w:autoSpaceDN w:val="0"/>
              <w:adjustRightInd w:val="0"/>
              <w:snapToGrid w:val="0"/>
              <w:jc w:val="center"/>
              <w:rPr>
                <w:rFonts w:ascii="宋体" w:hAnsi="宋体"/>
                <w:szCs w:val="21"/>
              </w:rPr>
            </w:pPr>
            <w:r>
              <w:rPr>
                <w:rFonts w:ascii="宋体" w:hAnsi="宋体"/>
                <w:szCs w:val="21"/>
              </w:rPr>
              <w:t>-</w:t>
            </w:r>
          </w:p>
        </w:tc>
      </w:tr>
      <w:tr w14:paraId="17C0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FD46652">
            <w:pPr>
              <w:jc w:val="center"/>
              <w:rPr>
                <w:rFonts w:ascii="宋体" w:hAnsi="宋体"/>
                <w:szCs w:val="21"/>
              </w:rPr>
            </w:pPr>
          </w:p>
        </w:tc>
        <w:tc>
          <w:tcPr>
            <w:tcW w:w="703" w:type="dxa"/>
            <w:vMerge w:val="continue"/>
            <w:tcMar>
              <w:top w:w="0" w:type="dxa"/>
              <w:left w:w="0" w:type="dxa"/>
              <w:bottom w:w="0" w:type="dxa"/>
              <w:right w:w="0" w:type="dxa"/>
            </w:tcMar>
            <w:vAlign w:val="center"/>
          </w:tcPr>
          <w:p w14:paraId="2F0E842E">
            <w:pPr>
              <w:autoSpaceDN w:val="0"/>
              <w:rPr>
                <w:rFonts w:ascii="宋体" w:hAnsi="宋体"/>
                <w:szCs w:val="21"/>
              </w:rPr>
            </w:pPr>
          </w:p>
        </w:tc>
        <w:tc>
          <w:tcPr>
            <w:tcW w:w="4116" w:type="dxa"/>
            <w:vMerge w:val="continue"/>
            <w:tcMar>
              <w:top w:w="0" w:type="dxa"/>
              <w:left w:w="0" w:type="dxa"/>
              <w:bottom w:w="0" w:type="dxa"/>
              <w:right w:w="0" w:type="dxa"/>
            </w:tcMar>
            <w:vAlign w:val="center"/>
          </w:tcPr>
          <w:p w14:paraId="75E6C30E">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8FFCE59">
            <w:pPr>
              <w:autoSpaceDN w:val="0"/>
              <w:jc w:val="center"/>
              <w:rPr>
                <w:rFonts w:ascii="宋体" w:hAnsi="宋体"/>
                <w:szCs w:val="21"/>
              </w:rPr>
            </w:pPr>
            <w:r>
              <w:rPr>
                <w:rFonts w:ascii="宋体" w:hAnsi="宋体"/>
                <w:szCs w:val="21"/>
              </w:rPr>
              <w:t>100&gt; Ni≥20</w:t>
            </w:r>
          </w:p>
        </w:tc>
        <w:tc>
          <w:tcPr>
            <w:tcW w:w="851" w:type="dxa"/>
            <w:tcMar>
              <w:top w:w="0" w:type="dxa"/>
              <w:left w:w="0" w:type="dxa"/>
              <w:bottom w:w="0" w:type="dxa"/>
              <w:right w:w="0" w:type="dxa"/>
            </w:tcMar>
            <w:vAlign w:val="center"/>
          </w:tcPr>
          <w:p w14:paraId="138D1C65">
            <w:pPr>
              <w:autoSpaceDN w:val="0"/>
              <w:adjustRightInd w:val="0"/>
              <w:snapToGrid w:val="0"/>
              <w:jc w:val="center"/>
              <w:rPr>
                <w:rFonts w:ascii="宋体" w:hAnsi="宋体"/>
                <w:szCs w:val="21"/>
              </w:rPr>
            </w:pPr>
            <w:r>
              <w:rPr>
                <w:rFonts w:ascii="宋体" w:hAnsi="宋体"/>
                <w:szCs w:val="21"/>
              </w:rPr>
              <w:t>0.5</w:t>
            </w:r>
          </w:p>
        </w:tc>
      </w:tr>
      <w:tr w14:paraId="1101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915ABAE">
            <w:pPr>
              <w:jc w:val="center"/>
              <w:rPr>
                <w:rFonts w:ascii="宋体" w:hAnsi="宋体"/>
                <w:szCs w:val="21"/>
              </w:rPr>
            </w:pPr>
          </w:p>
        </w:tc>
        <w:tc>
          <w:tcPr>
            <w:tcW w:w="703" w:type="dxa"/>
            <w:vMerge w:val="continue"/>
            <w:tcMar>
              <w:top w:w="0" w:type="dxa"/>
              <w:left w:w="0" w:type="dxa"/>
              <w:bottom w:w="0" w:type="dxa"/>
              <w:right w:w="0" w:type="dxa"/>
            </w:tcMar>
            <w:vAlign w:val="center"/>
          </w:tcPr>
          <w:p w14:paraId="468B6465">
            <w:pPr>
              <w:autoSpaceDN w:val="0"/>
              <w:rPr>
                <w:rFonts w:ascii="宋体" w:hAnsi="宋体"/>
                <w:szCs w:val="21"/>
              </w:rPr>
            </w:pPr>
          </w:p>
        </w:tc>
        <w:tc>
          <w:tcPr>
            <w:tcW w:w="4116" w:type="dxa"/>
            <w:vMerge w:val="continue"/>
            <w:tcMar>
              <w:top w:w="0" w:type="dxa"/>
              <w:left w:w="0" w:type="dxa"/>
              <w:bottom w:w="0" w:type="dxa"/>
              <w:right w:w="0" w:type="dxa"/>
            </w:tcMar>
            <w:vAlign w:val="center"/>
          </w:tcPr>
          <w:p w14:paraId="524416B8">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49758558">
            <w:pPr>
              <w:autoSpaceDN w:val="0"/>
              <w:jc w:val="center"/>
              <w:rPr>
                <w:rFonts w:ascii="宋体" w:hAnsi="宋体"/>
                <w:szCs w:val="21"/>
              </w:rPr>
            </w:pPr>
            <w:r>
              <w:rPr>
                <w:rFonts w:hint="eastAsia" w:ascii="宋体" w:hAnsi="宋体"/>
                <w:szCs w:val="21"/>
              </w:rPr>
              <w:t>Ni&lt;</w:t>
            </w:r>
            <w:r>
              <w:rPr>
                <w:rFonts w:ascii="宋体" w:hAnsi="宋体"/>
                <w:szCs w:val="21"/>
              </w:rPr>
              <w:t>20</w:t>
            </w:r>
          </w:p>
        </w:tc>
        <w:tc>
          <w:tcPr>
            <w:tcW w:w="851" w:type="dxa"/>
            <w:tcMar>
              <w:top w:w="0" w:type="dxa"/>
              <w:left w:w="0" w:type="dxa"/>
              <w:bottom w:w="0" w:type="dxa"/>
              <w:right w:w="0" w:type="dxa"/>
            </w:tcMar>
            <w:vAlign w:val="center"/>
          </w:tcPr>
          <w:p w14:paraId="10289A7A">
            <w:pPr>
              <w:autoSpaceDN w:val="0"/>
              <w:adjustRightInd w:val="0"/>
              <w:snapToGrid w:val="0"/>
              <w:jc w:val="center"/>
              <w:rPr>
                <w:rFonts w:ascii="宋体" w:hAnsi="宋体"/>
                <w:szCs w:val="21"/>
              </w:rPr>
            </w:pPr>
            <w:r>
              <w:rPr>
                <w:rFonts w:hint="eastAsia" w:ascii="宋体" w:hAnsi="宋体"/>
                <w:szCs w:val="21"/>
              </w:rPr>
              <w:t>0</w:t>
            </w:r>
          </w:p>
        </w:tc>
      </w:tr>
      <w:tr w14:paraId="0944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1ACD9066">
            <w:pPr>
              <w:jc w:val="center"/>
              <w:rPr>
                <w:rFonts w:ascii="宋体" w:hAnsi="宋体"/>
                <w:szCs w:val="21"/>
              </w:rPr>
            </w:pPr>
            <w:r>
              <w:rPr>
                <w:rFonts w:ascii="宋体" w:hAnsi="宋体"/>
                <w:szCs w:val="21"/>
              </w:rPr>
              <w:t>6</w:t>
            </w:r>
            <w:r>
              <w:rPr>
                <w:rFonts w:hint="eastAsia" w:ascii="宋体" w:hAnsi="宋体"/>
                <w:szCs w:val="21"/>
              </w:rPr>
              <w:t>.技术投融资服务</w:t>
            </w:r>
          </w:p>
        </w:tc>
        <w:tc>
          <w:tcPr>
            <w:tcW w:w="703" w:type="dxa"/>
            <w:vMerge w:val="restart"/>
            <w:tcMar>
              <w:top w:w="0" w:type="dxa"/>
              <w:left w:w="0" w:type="dxa"/>
              <w:bottom w:w="0" w:type="dxa"/>
              <w:right w:w="0" w:type="dxa"/>
            </w:tcMar>
            <w:vAlign w:val="center"/>
          </w:tcPr>
          <w:p w14:paraId="2D0F745A">
            <w:pPr>
              <w:autoSpaceDN w:val="0"/>
              <w:jc w:val="center"/>
              <w:rPr>
                <w:rFonts w:ascii="宋体" w:hAnsi="宋体"/>
                <w:szCs w:val="21"/>
              </w:rPr>
            </w:pPr>
            <w:r>
              <w:rPr>
                <w:rFonts w:ascii="宋体" w:hAnsi="宋体"/>
                <w:szCs w:val="21"/>
              </w:rPr>
              <w:t>20</w:t>
            </w:r>
          </w:p>
        </w:tc>
        <w:tc>
          <w:tcPr>
            <w:tcW w:w="4116" w:type="dxa"/>
            <w:vMerge w:val="restart"/>
            <w:tcMar>
              <w:top w:w="0" w:type="dxa"/>
              <w:left w:w="0" w:type="dxa"/>
              <w:bottom w:w="0" w:type="dxa"/>
              <w:right w:w="0" w:type="dxa"/>
            </w:tcMar>
            <w:vAlign w:val="center"/>
          </w:tcPr>
          <w:p w14:paraId="05FAF516">
            <w:pPr>
              <w:autoSpaceDN w:val="0"/>
              <w:rPr>
                <w:rFonts w:ascii="宋体" w:hAnsi="宋体"/>
                <w:szCs w:val="21"/>
              </w:rPr>
            </w:pPr>
            <w:r>
              <w:rPr>
                <w:rFonts w:hint="eastAsia" w:ascii="宋体" w:hAnsi="宋体"/>
                <w:szCs w:val="21"/>
              </w:rPr>
              <w:t>6.1 签订（促成）</w:t>
            </w:r>
            <w:r>
              <w:rPr>
                <w:rFonts w:ascii="宋体" w:hAnsi="宋体"/>
                <w:szCs w:val="21"/>
              </w:rPr>
              <w:t>技术</w:t>
            </w:r>
            <w:r>
              <w:rPr>
                <w:rFonts w:hint="eastAsia" w:ascii="宋体" w:hAnsi="宋体"/>
                <w:szCs w:val="21"/>
              </w:rPr>
              <w:t>投融资</w:t>
            </w:r>
            <w:r>
              <w:rPr>
                <w:rFonts w:ascii="宋体" w:hAnsi="宋体"/>
                <w:szCs w:val="21"/>
              </w:rPr>
              <w:t>服务合同数</w:t>
            </w:r>
          </w:p>
        </w:tc>
        <w:tc>
          <w:tcPr>
            <w:tcW w:w="1559" w:type="dxa"/>
            <w:tcMar>
              <w:top w:w="0" w:type="dxa"/>
              <w:left w:w="0" w:type="dxa"/>
              <w:bottom w:w="0" w:type="dxa"/>
              <w:right w:w="0" w:type="dxa"/>
            </w:tcMar>
            <w:vAlign w:val="center"/>
          </w:tcPr>
          <w:p w14:paraId="7A1EFB19">
            <w:pPr>
              <w:autoSpaceDN w:val="0"/>
              <w:jc w:val="center"/>
              <w:rPr>
                <w:rFonts w:ascii="宋体" w:hAnsi="宋体"/>
                <w:szCs w:val="21"/>
              </w:rPr>
            </w:pPr>
            <w:r>
              <w:rPr>
                <w:rFonts w:ascii="宋体" w:hAnsi="宋体"/>
                <w:szCs w:val="21"/>
              </w:rPr>
              <w:t>Ni≥2</w:t>
            </w:r>
            <w:r>
              <w:rPr>
                <w:rFonts w:hint="eastAsia" w:ascii="宋体" w:hAnsi="宋体"/>
                <w:szCs w:val="21"/>
              </w:rPr>
              <w:t>0</w:t>
            </w:r>
          </w:p>
        </w:tc>
        <w:tc>
          <w:tcPr>
            <w:tcW w:w="851" w:type="dxa"/>
            <w:tcMar>
              <w:top w:w="0" w:type="dxa"/>
              <w:left w:w="0" w:type="dxa"/>
              <w:bottom w:w="0" w:type="dxa"/>
              <w:right w:w="0" w:type="dxa"/>
            </w:tcMar>
            <w:vAlign w:val="center"/>
          </w:tcPr>
          <w:p w14:paraId="7C37D03F">
            <w:pPr>
              <w:autoSpaceDN w:val="0"/>
              <w:adjustRightInd w:val="0"/>
              <w:snapToGrid w:val="0"/>
              <w:jc w:val="center"/>
              <w:rPr>
                <w:rFonts w:ascii="宋体" w:hAnsi="宋体"/>
                <w:szCs w:val="21"/>
              </w:rPr>
            </w:pPr>
            <w:r>
              <w:rPr>
                <w:rFonts w:ascii="宋体" w:hAnsi="宋体"/>
                <w:szCs w:val="21"/>
              </w:rPr>
              <w:t>-</w:t>
            </w:r>
          </w:p>
        </w:tc>
      </w:tr>
      <w:tr w14:paraId="7FFE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6412418C">
            <w:pPr>
              <w:jc w:val="center"/>
              <w:rPr>
                <w:rFonts w:ascii="宋体" w:hAnsi="宋体"/>
                <w:szCs w:val="21"/>
              </w:rPr>
            </w:pPr>
          </w:p>
        </w:tc>
        <w:tc>
          <w:tcPr>
            <w:tcW w:w="703" w:type="dxa"/>
            <w:vMerge w:val="continue"/>
            <w:tcMar>
              <w:top w:w="0" w:type="dxa"/>
              <w:left w:w="0" w:type="dxa"/>
              <w:bottom w:w="0" w:type="dxa"/>
              <w:right w:w="0" w:type="dxa"/>
            </w:tcMar>
            <w:vAlign w:val="center"/>
          </w:tcPr>
          <w:p w14:paraId="71EFB5A7">
            <w:pPr>
              <w:autoSpaceDN w:val="0"/>
              <w:rPr>
                <w:rFonts w:ascii="宋体" w:hAnsi="宋体"/>
                <w:szCs w:val="21"/>
              </w:rPr>
            </w:pPr>
          </w:p>
        </w:tc>
        <w:tc>
          <w:tcPr>
            <w:tcW w:w="4116" w:type="dxa"/>
            <w:vMerge w:val="continue"/>
            <w:tcMar>
              <w:top w:w="0" w:type="dxa"/>
              <w:left w:w="0" w:type="dxa"/>
              <w:bottom w:w="0" w:type="dxa"/>
              <w:right w:w="0" w:type="dxa"/>
            </w:tcMar>
            <w:vAlign w:val="center"/>
          </w:tcPr>
          <w:p w14:paraId="42311CFF">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2E6EE4B7">
            <w:pPr>
              <w:autoSpaceDN w:val="0"/>
              <w:jc w:val="center"/>
              <w:rPr>
                <w:rFonts w:ascii="宋体" w:hAnsi="宋体"/>
                <w:szCs w:val="21"/>
              </w:rPr>
            </w:pPr>
            <w:r>
              <w:rPr>
                <w:rFonts w:ascii="宋体" w:hAnsi="宋体"/>
                <w:szCs w:val="21"/>
              </w:rPr>
              <w:t>20&gt; Ni≥5</w:t>
            </w:r>
          </w:p>
        </w:tc>
        <w:tc>
          <w:tcPr>
            <w:tcW w:w="851" w:type="dxa"/>
            <w:tcMar>
              <w:top w:w="0" w:type="dxa"/>
              <w:left w:w="0" w:type="dxa"/>
              <w:bottom w:w="0" w:type="dxa"/>
              <w:right w:w="0" w:type="dxa"/>
            </w:tcMar>
            <w:vAlign w:val="center"/>
          </w:tcPr>
          <w:p w14:paraId="1F88100B">
            <w:pPr>
              <w:autoSpaceDN w:val="0"/>
              <w:adjustRightInd w:val="0"/>
              <w:snapToGrid w:val="0"/>
              <w:jc w:val="center"/>
              <w:rPr>
                <w:rFonts w:ascii="宋体" w:hAnsi="宋体"/>
                <w:szCs w:val="21"/>
              </w:rPr>
            </w:pPr>
            <w:r>
              <w:rPr>
                <w:rFonts w:ascii="宋体" w:hAnsi="宋体"/>
                <w:szCs w:val="21"/>
              </w:rPr>
              <w:t>1</w:t>
            </w:r>
          </w:p>
        </w:tc>
      </w:tr>
      <w:tr w14:paraId="2D39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F625DBC">
            <w:pPr>
              <w:jc w:val="center"/>
              <w:rPr>
                <w:rFonts w:ascii="宋体" w:hAnsi="宋体"/>
                <w:szCs w:val="21"/>
              </w:rPr>
            </w:pPr>
          </w:p>
        </w:tc>
        <w:tc>
          <w:tcPr>
            <w:tcW w:w="703" w:type="dxa"/>
            <w:vMerge w:val="continue"/>
            <w:tcMar>
              <w:top w:w="0" w:type="dxa"/>
              <w:left w:w="0" w:type="dxa"/>
              <w:bottom w:w="0" w:type="dxa"/>
              <w:right w:w="0" w:type="dxa"/>
            </w:tcMar>
            <w:vAlign w:val="center"/>
          </w:tcPr>
          <w:p w14:paraId="427887F6">
            <w:pPr>
              <w:autoSpaceDN w:val="0"/>
              <w:rPr>
                <w:rFonts w:ascii="宋体" w:hAnsi="宋体"/>
                <w:szCs w:val="21"/>
              </w:rPr>
            </w:pPr>
          </w:p>
        </w:tc>
        <w:tc>
          <w:tcPr>
            <w:tcW w:w="4116" w:type="dxa"/>
            <w:vMerge w:val="continue"/>
            <w:tcMar>
              <w:top w:w="0" w:type="dxa"/>
              <w:left w:w="0" w:type="dxa"/>
              <w:bottom w:w="0" w:type="dxa"/>
              <w:right w:w="0" w:type="dxa"/>
            </w:tcMar>
            <w:vAlign w:val="center"/>
          </w:tcPr>
          <w:p w14:paraId="72B21896">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1E1A4267">
            <w:pPr>
              <w:autoSpaceDN w:val="0"/>
              <w:jc w:val="center"/>
              <w:rPr>
                <w:rFonts w:ascii="宋体" w:hAnsi="宋体"/>
                <w:szCs w:val="21"/>
              </w:rPr>
            </w:pPr>
            <w:r>
              <w:rPr>
                <w:rFonts w:hint="eastAsia" w:ascii="宋体" w:hAnsi="宋体"/>
                <w:szCs w:val="21"/>
              </w:rPr>
              <w:t>Ni&lt;</w:t>
            </w:r>
            <w:r>
              <w:rPr>
                <w:rFonts w:ascii="宋体" w:hAnsi="宋体"/>
                <w:szCs w:val="21"/>
              </w:rPr>
              <w:t>5</w:t>
            </w:r>
          </w:p>
        </w:tc>
        <w:tc>
          <w:tcPr>
            <w:tcW w:w="851" w:type="dxa"/>
            <w:tcMar>
              <w:top w:w="0" w:type="dxa"/>
              <w:left w:w="0" w:type="dxa"/>
              <w:bottom w:w="0" w:type="dxa"/>
              <w:right w:w="0" w:type="dxa"/>
            </w:tcMar>
            <w:vAlign w:val="center"/>
          </w:tcPr>
          <w:p w14:paraId="0345D600">
            <w:pPr>
              <w:autoSpaceDN w:val="0"/>
              <w:adjustRightInd w:val="0"/>
              <w:snapToGrid w:val="0"/>
              <w:jc w:val="center"/>
              <w:rPr>
                <w:rFonts w:ascii="宋体" w:hAnsi="宋体"/>
                <w:szCs w:val="21"/>
              </w:rPr>
            </w:pPr>
            <w:r>
              <w:rPr>
                <w:rFonts w:hint="eastAsia" w:ascii="宋体" w:hAnsi="宋体"/>
                <w:szCs w:val="21"/>
              </w:rPr>
              <w:t>0</w:t>
            </w:r>
          </w:p>
        </w:tc>
      </w:tr>
      <w:tr w14:paraId="2EC0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Merge w:val="continue"/>
            <w:tcMar>
              <w:top w:w="0" w:type="dxa"/>
              <w:left w:w="0" w:type="dxa"/>
              <w:bottom w:w="0" w:type="dxa"/>
              <w:right w:w="0" w:type="dxa"/>
            </w:tcMar>
            <w:vAlign w:val="center"/>
          </w:tcPr>
          <w:p w14:paraId="672F4DCB">
            <w:pPr>
              <w:jc w:val="center"/>
              <w:rPr>
                <w:rFonts w:ascii="宋体" w:hAnsi="宋体"/>
                <w:szCs w:val="21"/>
              </w:rPr>
            </w:pPr>
          </w:p>
        </w:tc>
        <w:tc>
          <w:tcPr>
            <w:tcW w:w="703" w:type="dxa"/>
            <w:vMerge w:val="restart"/>
            <w:tcMar>
              <w:top w:w="0" w:type="dxa"/>
              <w:left w:w="0" w:type="dxa"/>
              <w:bottom w:w="0" w:type="dxa"/>
              <w:right w:w="0" w:type="dxa"/>
            </w:tcMar>
            <w:vAlign w:val="center"/>
          </w:tcPr>
          <w:p w14:paraId="6DF1F9AA">
            <w:pPr>
              <w:autoSpaceDN w:val="0"/>
              <w:jc w:val="center"/>
              <w:rPr>
                <w:rFonts w:ascii="宋体" w:hAnsi="宋体"/>
                <w:szCs w:val="21"/>
              </w:rPr>
            </w:pPr>
            <w:r>
              <w:rPr>
                <w:rFonts w:ascii="宋体" w:hAnsi="宋体"/>
                <w:szCs w:val="21"/>
              </w:rPr>
              <w:t>4</w:t>
            </w:r>
            <w:r>
              <w:rPr>
                <w:rFonts w:hint="eastAsia" w:ascii="宋体" w:hAnsi="宋体"/>
                <w:szCs w:val="21"/>
              </w:rPr>
              <w:t>0</w:t>
            </w:r>
          </w:p>
        </w:tc>
        <w:tc>
          <w:tcPr>
            <w:tcW w:w="4116" w:type="dxa"/>
            <w:vMerge w:val="restart"/>
            <w:tcMar>
              <w:top w:w="0" w:type="dxa"/>
              <w:left w:w="0" w:type="dxa"/>
              <w:bottom w:w="0" w:type="dxa"/>
              <w:right w:w="0" w:type="dxa"/>
            </w:tcMar>
            <w:vAlign w:val="center"/>
          </w:tcPr>
          <w:p w14:paraId="325EBB2E">
            <w:pPr>
              <w:autoSpaceDN w:val="0"/>
              <w:rPr>
                <w:rFonts w:ascii="宋体" w:hAnsi="宋体"/>
                <w:szCs w:val="21"/>
              </w:rPr>
            </w:pPr>
            <w:r>
              <w:rPr>
                <w:rFonts w:ascii="宋体" w:hAnsi="宋体"/>
                <w:szCs w:val="21"/>
              </w:rPr>
              <w:t xml:space="preserve">6.2 </w:t>
            </w:r>
            <w:r>
              <w:rPr>
                <w:rFonts w:hint="eastAsia" w:ascii="宋体" w:hAnsi="宋体"/>
                <w:szCs w:val="21"/>
              </w:rPr>
              <w:t>促成科技成果</w:t>
            </w:r>
            <w:r>
              <w:rPr>
                <w:rFonts w:ascii="宋体" w:hAnsi="宋体"/>
                <w:szCs w:val="21"/>
              </w:rPr>
              <w:t>质押融资</w:t>
            </w:r>
            <w:r>
              <w:rPr>
                <w:rFonts w:hint="eastAsia" w:ascii="宋体" w:hAnsi="宋体"/>
                <w:szCs w:val="21"/>
              </w:rPr>
              <w:t>贷款</w:t>
            </w:r>
            <w:r>
              <w:rPr>
                <w:rFonts w:ascii="宋体" w:hAnsi="宋体"/>
                <w:szCs w:val="21"/>
              </w:rPr>
              <w:t>金额</w:t>
            </w:r>
            <w:r>
              <w:rPr>
                <w:rFonts w:hint="eastAsia" w:ascii="宋体" w:hAnsi="宋体"/>
                <w:szCs w:val="21"/>
              </w:rPr>
              <w:t>（万元</w:t>
            </w:r>
            <w:r>
              <w:rPr>
                <w:rFonts w:ascii="宋体" w:hAnsi="宋体"/>
                <w:szCs w:val="21"/>
              </w:rPr>
              <w:t>）</w:t>
            </w:r>
          </w:p>
        </w:tc>
        <w:tc>
          <w:tcPr>
            <w:tcW w:w="1559" w:type="dxa"/>
            <w:tcMar>
              <w:top w:w="0" w:type="dxa"/>
              <w:left w:w="0" w:type="dxa"/>
              <w:bottom w:w="0" w:type="dxa"/>
              <w:right w:w="0" w:type="dxa"/>
            </w:tcMar>
            <w:vAlign w:val="center"/>
          </w:tcPr>
          <w:p w14:paraId="602409EB">
            <w:pPr>
              <w:autoSpaceDN w:val="0"/>
              <w:jc w:val="center"/>
              <w:rPr>
                <w:rFonts w:ascii="宋体" w:hAnsi="宋体"/>
                <w:szCs w:val="21"/>
              </w:rPr>
            </w:pPr>
            <w:r>
              <w:rPr>
                <w:rFonts w:ascii="宋体" w:hAnsi="宋体"/>
                <w:szCs w:val="21"/>
              </w:rPr>
              <w:t>Ni≥10000</w:t>
            </w:r>
          </w:p>
        </w:tc>
        <w:tc>
          <w:tcPr>
            <w:tcW w:w="851" w:type="dxa"/>
            <w:tcMar>
              <w:top w:w="0" w:type="dxa"/>
              <w:left w:w="0" w:type="dxa"/>
              <w:bottom w:w="0" w:type="dxa"/>
              <w:right w:w="0" w:type="dxa"/>
            </w:tcMar>
            <w:vAlign w:val="center"/>
          </w:tcPr>
          <w:p w14:paraId="12DC5EBF">
            <w:pPr>
              <w:autoSpaceDN w:val="0"/>
              <w:adjustRightInd w:val="0"/>
              <w:snapToGrid w:val="0"/>
              <w:jc w:val="center"/>
              <w:rPr>
                <w:rFonts w:ascii="宋体" w:hAnsi="宋体"/>
                <w:szCs w:val="21"/>
              </w:rPr>
            </w:pPr>
            <w:r>
              <w:rPr>
                <w:rFonts w:ascii="宋体" w:hAnsi="宋体"/>
                <w:szCs w:val="21"/>
              </w:rPr>
              <w:t>-</w:t>
            </w:r>
          </w:p>
        </w:tc>
      </w:tr>
      <w:tr w14:paraId="315D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61880204">
            <w:pPr>
              <w:jc w:val="center"/>
              <w:rPr>
                <w:rFonts w:ascii="宋体" w:hAnsi="宋体"/>
                <w:szCs w:val="21"/>
              </w:rPr>
            </w:pPr>
          </w:p>
        </w:tc>
        <w:tc>
          <w:tcPr>
            <w:tcW w:w="703" w:type="dxa"/>
            <w:vMerge w:val="continue"/>
            <w:tcMar>
              <w:top w:w="0" w:type="dxa"/>
              <w:left w:w="0" w:type="dxa"/>
              <w:bottom w:w="0" w:type="dxa"/>
              <w:right w:w="0" w:type="dxa"/>
            </w:tcMar>
            <w:vAlign w:val="center"/>
          </w:tcPr>
          <w:p w14:paraId="549596F6">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307935ED">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645FDFFD">
            <w:pPr>
              <w:autoSpaceDN w:val="0"/>
              <w:jc w:val="center"/>
              <w:rPr>
                <w:rFonts w:ascii="宋体" w:hAnsi="宋体"/>
                <w:szCs w:val="21"/>
              </w:rPr>
            </w:pPr>
            <w:r>
              <w:rPr>
                <w:rFonts w:ascii="宋体" w:hAnsi="宋体"/>
                <w:szCs w:val="21"/>
              </w:rPr>
              <w:t>10000&gt; Ni≥500</w:t>
            </w:r>
          </w:p>
        </w:tc>
        <w:tc>
          <w:tcPr>
            <w:tcW w:w="851" w:type="dxa"/>
            <w:tcMar>
              <w:top w:w="0" w:type="dxa"/>
              <w:left w:w="0" w:type="dxa"/>
              <w:bottom w:w="0" w:type="dxa"/>
              <w:right w:w="0" w:type="dxa"/>
            </w:tcMar>
            <w:vAlign w:val="center"/>
          </w:tcPr>
          <w:p w14:paraId="1F0ABAA8">
            <w:pPr>
              <w:autoSpaceDN w:val="0"/>
              <w:adjustRightInd w:val="0"/>
              <w:snapToGrid w:val="0"/>
              <w:jc w:val="center"/>
              <w:rPr>
                <w:rFonts w:ascii="宋体" w:hAnsi="宋体"/>
                <w:szCs w:val="21"/>
              </w:rPr>
            </w:pPr>
            <w:r>
              <w:rPr>
                <w:rFonts w:ascii="宋体" w:hAnsi="宋体"/>
                <w:szCs w:val="21"/>
              </w:rPr>
              <w:t>0.004</w:t>
            </w:r>
          </w:p>
        </w:tc>
      </w:tr>
      <w:tr w14:paraId="143D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1134" w:type="dxa"/>
            <w:vMerge w:val="continue"/>
            <w:tcMar>
              <w:top w:w="0" w:type="dxa"/>
              <w:left w:w="0" w:type="dxa"/>
              <w:bottom w:w="0" w:type="dxa"/>
              <w:right w:w="0" w:type="dxa"/>
            </w:tcMar>
            <w:vAlign w:val="center"/>
          </w:tcPr>
          <w:p w14:paraId="4AD56176">
            <w:pPr>
              <w:jc w:val="center"/>
              <w:rPr>
                <w:rFonts w:ascii="宋体" w:hAnsi="宋体"/>
                <w:szCs w:val="21"/>
              </w:rPr>
            </w:pPr>
          </w:p>
        </w:tc>
        <w:tc>
          <w:tcPr>
            <w:tcW w:w="703" w:type="dxa"/>
            <w:vMerge w:val="continue"/>
            <w:tcMar>
              <w:top w:w="0" w:type="dxa"/>
              <w:left w:w="0" w:type="dxa"/>
              <w:bottom w:w="0" w:type="dxa"/>
              <w:right w:w="0" w:type="dxa"/>
            </w:tcMar>
            <w:vAlign w:val="center"/>
          </w:tcPr>
          <w:p w14:paraId="5D62DD9C">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0AAF7521">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89C105D">
            <w:pPr>
              <w:autoSpaceDN w:val="0"/>
              <w:jc w:val="center"/>
              <w:rPr>
                <w:rFonts w:ascii="宋体" w:hAnsi="宋体"/>
                <w:szCs w:val="21"/>
              </w:rPr>
            </w:pPr>
            <w:r>
              <w:rPr>
                <w:rFonts w:hint="eastAsia" w:ascii="宋体" w:hAnsi="宋体"/>
                <w:szCs w:val="21"/>
              </w:rPr>
              <w:t>Ni&lt;</w:t>
            </w:r>
            <w:r>
              <w:rPr>
                <w:rFonts w:ascii="宋体" w:hAnsi="宋体"/>
                <w:szCs w:val="21"/>
              </w:rPr>
              <w:t>500</w:t>
            </w:r>
          </w:p>
        </w:tc>
        <w:tc>
          <w:tcPr>
            <w:tcW w:w="851" w:type="dxa"/>
            <w:tcMar>
              <w:top w:w="0" w:type="dxa"/>
              <w:left w:w="0" w:type="dxa"/>
              <w:bottom w:w="0" w:type="dxa"/>
              <w:right w:w="0" w:type="dxa"/>
            </w:tcMar>
            <w:vAlign w:val="center"/>
          </w:tcPr>
          <w:p w14:paraId="3B5A628D">
            <w:pPr>
              <w:autoSpaceDN w:val="0"/>
              <w:adjustRightInd w:val="0"/>
              <w:snapToGrid w:val="0"/>
              <w:jc w:val="center"/>
              <w:rPr>
                <w:rFonts w:ascii="宋体" w:hAnsi="宋体"/>
                <w:szCs w:val="21"/>
              </w:rPr>
            </w:pPr>
            <w:r>
              <w:rPr>
                <w:rFonts w:hint="eastAsia" w:ascii="宋体" w:hAnsi="宋体"/>
                <w:szCs w:val="21"/>
              </w:rPr>
              <w:t>0</w:t>
            </w:r>
          </w:p>
        </w:tc>
      </w:tr>
      <w:tr w14:paraId="62C0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C4A1257">
            <w:pPr>
              <w:jc w:val="center"/>
              <w:rPr>
                <w:rFonts w:ascii="宋体" w:hAnsi="宋体"/>
                <w:szCs w:val="21"/>
              </w:rPr>
            </w:pPr>
          </w:p>
        </w:tc>
        <w:tc>
          <w:tcPr>
            <w:tcW w:w="703" w:type="dxa"/>
            <w:vMerge w:val="continue"/>
            <w:tcMar>
              <w:top w:w="0" w:type="dxa"/>
              <w:left w:w="0" w:type="dxa"/>
              <w:bottom w:w="0" w:type="dxa"/>
              <w:right w:w="0" w:type="dxa"/>
            </w:tcMar>
            <w:vAlign w:val="center"/>
          </w:tcPr>
          <w:p w14:paraId="5437CDF3">
            <w:pPr>
              <w:autoSpaceDN w:val="0"/>
              <w:jc w:val="center"/>
              <w:rPr>
                <w:rFonts w:ascii="宋体" w:hAnsi="宋体"/>
                <w:szCs w:val="21"/>
              </w:rPr>
            </w:pPr>
          </w:p>
        </w:tc>
        <w:tc>
          <w:tcPr>
            <w:tcW w:w="4116" w:type="dxa"/>
            <w:vMerge w:val="restart"/>
            <w:tcMar>
              <w:top w:w="0" w:type="dxa"/>
              <w:left w:w="0" w:type="dxa"/>
              <w:bottom w:w="0" w:type="dxa"/>
              <w:right w:w="0" w:type="dxa"/>
            </w:tcMar>
            <w:vAlign w:val="center"/>
          </w:tcPr>
          <w:p w14:paraId="27D86629">
            <w:pPr>
              <w:autoSpaceDN w:val="0"/>
              <w:rPr>
                <w:rFonts w:ascii="宋体" w:hAnsi="宋体"/>
                <w:szCs w:val="21"/>
              </w:rPr>
            </w:pPr>
            <w:r>
              <w:rPr>
                <w:rFonts w:ascii="宋体" w:hAnsi="宋体"/>
                <w:szCs w:val="21"/>
              </w:rPr>
              <w:t xml:space="preserve">6.3 </w:t>
            </w:r>
            <w:r>
              <w:rPr>
                <w:rFonts w:hint="eastAsia" w:ascii="宋体" w:hAnsi="宋体"/>
                <w:szCs w:val="21"/>
              </w:rPr>
              <w:t>促成</w:t>
            </w:r>
            <w:r>
              <w:rPr>
                <w:rFonts w:ascii="宋体" w:hAnsi="宋体"/>
                <w:szCs w:val="21"/>
              </w:rPr>
              <w:t>技术</w:t>
            </w:r>
            <w:r>
              <w:rPr>
                <w:rFonts w:hint="eastAsia" w:ascii="宋体" w:hAnsi="宋体"/>
                <w:szCs w:val="21"/>
              </w:rPr>
              <w:t>投资、</w:t>
            </w:r>
            <w:r>
              <w:rPr>
                <w:rFonts w:ascii="宋体" w:hAnsi="宋体"/>
                <w:szCs w:val="21"/>
              </w:rPr>
              <w:t>股权融资到账金额</w:t>
            </w:r>
            <w:r>
              <w:rPr>
                <w:rFonts w:hint="eastAsia" w:ascii="宋体" w:hAnsi="宋体"/>
                <w:szCs w:val="21"/>
              </w:rPr>
              <w:t>（万元</w:t>
            </w:r>
            <w:r>
              <w:rPr>
                <w:rFonts w:ascii="宋体" w:hAnsi="宋体"/>
                <w:szCs w:val="21"/>
              </w:rPr>
              <w:t>）</w:t>
            </w:r>
          </w:p>
        </w:tc>
        <w:tc>
          <w:tcPr>
            <w:tcW w:w="1559" w:type="dxa"/>
            <w:tcMar>
              <w:top w:w="0" w:type="dxa"/>
              <w:left w:w="0" w:type="dxa"/>
              <w:bottom w:w="0" w:type="dxa"/>
              <w:right w:w="0" w:type="dxa"/>
            </w:tcMar>
            <w:vAlign w:val="center"/>
          </w:tcPr>
          <w:p w14:paraId="17A3A579">
            <w:pPr>
              <w:autoSpaceDN w:val="0"/>
              <w:jc w:val="center"/>
              <w:rPr>
                <w:rFonts w:ascii="宋体" w:hAnsi="宋体"/>
                <w:szCs w:val="21"/>
              </w:rPr>
            </w:pPr>
            <w:r>
              <w:rPr>
                <w:rFonts w:ascii="宋体" w:hAnsi="宋体"/>
                <w:szCs w:val="21"/>
              </w:rPr>
              <w:t>Ni≥1000</w:t>
            </w:r>
          </w:p>
        </w:tc>
        <w:tc>
          <w:tcPr>
            <w:tcW w:w="851" w:type="dxa"/>
            <w:tcMar>
              <w:top w:w="0" w:type="dxa"/>
              <w:left w:w="0" w:type="dxa"/>
              <w:bottom w:w="0" w:type="dxa"/>
              <w:right w:w="0" w:type="dxa"/>
            </w:tcMar>
            <w:vAlign w:val="center"/>
          </w:tcPr>
          <w:p w14:paraId="3B49B70B">
            <w:pPr>
              <w:autoSpaceDN w:val="0"/>
              <w:adjustRightInd w:val="0"/>
              <w:snapToGrid w:val="0"/>
              <w:jc w:val="center"/>
              <w:rPr>
                <w:rFonts w:ascii="宋体" w:hAnsi="宋体"/>
                <w:szCs w:val="21"/>
              </w:rPr>
            </w:pPr>
            <w:r>
              <w:rPr>
                <w:rFonts w:ascii="宋体" w:hAnsi="宋体"/>
                <w:szCs w:val="21"/>
              </w:rPr>
              <w:t>-</w:t>
            </w:r>
          </w:p>
        </w:tc>
      </w:tr>
      <w:tr w14:paraId="646E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278589B7">
            <w:pPr>
              <w:jc w:val="center"/>
              <w:rPr>
                <w:rFonts w:ascii="宋体" w:hAnsi="宋体"/>
                <w:szCs w:val="21"/>
              </w:rPr>
            </w:pPr>
          </w:p>
        </w:tc>
        <w:tc>
          <w:tcPr>
            <w:tcW w:w="703" w:type="dxa"/>
            <w:vMerge w:val="continue"/>
            <w:tcMar>
              <w:top w:w="0" w:type="dxa"/>
              <w:left w:w="0" w:type="dxa"/>
              <w:bottom w:w="0" w:type="dxa"/>
              <w:right w:w="0" w:type="dxa"/>
            </w:tcMar>
            <w:vAlign w:val="center"/>
          </w:tcPr>
          <w:p w14:paraId="0E649BBE">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3D50B690">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240116A6">
            <w:pPr>
              <w:autoSpaceDN w:val="0"/>
              <w:jc w:val="center"/>
              <w:rPr>
                <w:rFonts w:ascii="宋体" w:hAnsi="宋体"/>
                <w:szCs w:val="21"/>
              </w:rPr>
            </w:pPr>
            <w:r>
              <w:rPr>
                <w:rFonts w:ascii="宋体" w:hAnsi="宋体"/>
                <w:szCs w:val="21"/>
              </w:rPr>
              <w:t>1000&gt; Ni≥50</w:t>
            </w:r>
          </w:p>
        </w:tc>
        <w:tc>
          <w:tcPr>
            <w:tcW w:w="851" w:type="dxa"/>
            <w:tcMar>
              <w:top w:w="0" w:type="dxa"/>
              <w:left w:w="0" w:type="dxa"/>
              <w:bottom w:w="0" w:type="dxa"/>
              <w:right w:w="0" w:type="dxa"/>
            </w:tcMar>
            <w:vAlign w:val="center"/>
          </w:tcPr>
          <w:p w14:paraId="44CFE0BD">
            <w:pPr>
              <w:autoSpaceDN w:val="0"/>
              <w:adjustRightInd w:val="0"/>
              <w:snapToGrid w:val="0"/>
              <w:jc w:val="center"/>
              <w:rPr>
                <w:rFonts w:ascii="宋体" w:hAnsi="宋体"/>
                <w:szCs w:val="21"/>
              </w:rPr>
            </w:pPr>
            <w:r>
              <w:rPr>
                <w:rFonts w:ascii="宋体" w:hAnsi="宋体"/>
                <w:szCs w:val="21"/>
              </w:rPr>
              <w:t>0.04</w:t>
            </w:r>
          </w:p>
        </w:tc>
      </w:tr>
      <w:tr w14:paraId="7295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70BDFAF">
            <w:pPr>
              <w:jc w:val="center"/>
              <w:rPr>
                <w:rFonts w:ascii="宋体" w:hAnsi="宋体"/>
                <w:szCs w:val="21"/>
              </w:rPr>
            </w:pPr>
          </w:p>
        </w:tc>
        <w:tc>
          <w:tcPr>
            <w:tcW w:w="703" w:type="dxa"/>
            <w:vMerge w:val="continue"/>
            <w:tcMar>
              <w:top w:w="0" w:type="dxa"/>
              <w:left w:w="0" w:type="dxa"/>
              <w:bottom w:w="0" w:type="dxa"/>
              <w:right w:w="0" w:type="dxa"/>
            </w:tcMar>
            <w:vAlign w:val="center"/>
          </w:tcPr>
          <w:p w14:paraId="3208D022">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1D2A4F51">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47CF14B1">
            <w:pPr>
              <w:autoSpaceDN w:val="0"/>
              <w:jc w:val="center"/>
              <w:rPr>
                <w:rFonts w:ascii="宋体" w:hAnsi="宋体"/>
                <w:szCs w:val="21"/>
              </w:rPr>
            </w:pPr>
            <w:r>
              <w:rPr>
                <w:rFonts w:hint="eastAsia" w:ascii="宋体" w:hAnsi="宋体"/>
                <w:szCs w:val="21"/>
              </w:rPr>
              <w:t>Ni&lt;</w:t>
            </w:r>
            <w:r>
              <w:rPr>
                <w:rFonts w:ascii="宋体" w:hAnsi="宋体"/>
                <w:szCs w:val="21"/>
              </w:rPr>
              <w:t>50</w:t>
            </w:r>
          </w:p>
        </w:tc>
        <w:tc>
          <w:tcPr>
            <w:tcW w:w="851" w:type="dxa"/>
            <w:tcMar>
              <w:top w:w="0" w:type="dxa"/>
              <w:left w:w="0" w:type="dxa"/>
              <w:bottom w:w="0" w:type="dxa"/>
              <w:right w:w="0" w:type="dxa"/>
            </w:tcMar>
            <w:vAlign w:val="center"/>
          </w:tcPr>
          <w:p w14:paraId="60CF30A0">
            <w:pPr>
              <w:autoSpaceDN w:val="0"/>
              <w:adjustRightInd w:val="0"/>
              <w:snapToGrid w:val="0"/>
              <w:jc w:val="center"/>
              <w:rPr>
                <w:rFonts w:ascii="宋体" w:hAnsi="宋体"/>
                <w:szCs w:val="21"/>
              </w:rPr>
            </w:pPr>
            <w:r>
              <w:rPr>
                <w:rFonts w:hint="eastAsia" w:ascii="宋体" w:hAnsi="宋体"/>
                <w:szCs w:val="21"/>
              </w:rPr>
              <w:t>0</w:t>
            </w:r>
          </w:p>
        </w:tc>
      </w:tr>
      <w:tr w14:paraId="6F4A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AA3E6D4">
            <w:pPr>
              <w:jc w:val="center"/>
              <w:rPr>
                <w:rFonts w:ascii="宋体" w:hAnsi="宋体"/>
                <w:szCs w:val="21"/>
              </w:rPr>
            </w:pPr>
          </w:p>
        </w:tc>
        <w:tc>
          <w:tcPr>
            <w:tcW w:w="703" w:type="dxa"/>
            <w:vMerge w:val="restart"/>
            <w:tcMar>
              <w:top w:w="0" w:type="dxa"/>
              <w:left w:w="0" w:type="dxa"/>
              <w:bottom w:w="0" w:type="dxa"/>
              <w:right w:w="0" w:type="dxa"/>
            </w:tcMar>
            <w:vAlign w:val="center"/>
          </w:tcPr>
          <w:p w14:paraId="5F480D61">
            <w:pPr>
              <w:autoSpaceDN w:val="0"/>
              <w:jc w:val="center"/>
              <w:rPr>
                <w:rFonts w:ascii="宋体" w:hAnsi="宋体"/>
                <w:szCs w:val="21"/>
              </w:rPr>
            </w:pPr>
            <w:r>
              <w:rPr>
                <w:rFonts w:ascii="宋体" w:hAnsi="宋体"/>
                <w:szCs w:val="21"/>
              </w:rPr>
              <w:t>1</w:t>
            </w:r>
            <w:r>
              <w:rPr>
                <w:rFonts w:hint="eastAsia" w:ascii="宋体" w:hAnsi="宋体"/>
                <w:szCs w:val="21"/>
              </w:rPr>
              <w:t>0</w:t>
            </w:r>
          </w:p>
        </w:tc>
        <w:tc>
          <w:tcPr>
            <w:tcW w:w="4116" w:type="dxa"/>
            <w:vMerge w:val="restart"/>
            <w:tcMar>
              <w:top w:w="0" w:type="dxa"/>
              <w:left w:w="0" w:type="dxa"/>
              <w:bottom w:w="0" w:type="dxa"/>
              <w:right w:w="0" w:type="dxa"/>
            </w:tcMar>
            <w:vAlign w:val="center"/>
          </w:tcPr>
          <w:p w14:paraId="7FECCE8C">
            <w:pPr>
              <w:autoSpaceDN w:val="0"/>
              <w:rPr>
                <w:rFonts w:ascii="宋体" w:hAnsi="宋体"/>
                <w:szCs w:val="21"/>
              </w:rPr>
            </w:pPr>
            <w:r>
              <w:rPr>
                <w:rFonts w:hint="eastAsia" w:ascii="宋体" w:hAnsi="宋体"/>
                <w:szCs w:val="21"/>
              </w:rPr>
              <w:t>6.4 服务收入（万元</w:t>
            </w:r>
            <w:r>
              <w:rPr>
                <w:rFonts w:ascii="宋体" w:hAnsi="宋体"/>
                <w:szCs w:val="21"/>
              </w:rPr>
              <w:t>）</w:t>
            </w:r>
          </w:p>
        </w:tc>
        <w:tc>
          <w:tcPr>
            <w:tcW w:w="1559" w:type="dxa"/>
            <w:tcMar>
              <w:top w:w="0" w:type="dxa"/>
              <w:left w:w="0" w:type="dxa"/>
              <w:bottom w:w="0" w:type="dxa"/>
              <w:right w:w="0" w:type="dxa"/>
            </w:tcMar>
            <w:vAlign w:val="center"/>
          </w:tcPr>
          <w:p w14:paraId="3A0C05AE">
            <w:pPr>
              <w:autoSpaceDN w:val="0"/>
              <w:jc w:val="center"/>
              <w:rPr>
                <w:rFonts w:ascii="宋体" w:hAnsi="宋体"/>
                <w:szCs w:val="21"/>
              </w:rPr>
            </w:pPr>
            <w:r>
              <w:rPr>
                <w:rFonts w:ascii="宋体" w:hAnsi="宋体"/>
                <w:szCs w:val="21"/>
              </w:rPr>
              <w:t>Ni≥50</w:t>
            </w:r>
          </w:p>
        </w:tc>
        <w:tc>
          <w:tcPr>
            <w:tcW w:w="851" w:type="dxa"/>
            <w:tcMar>
              <w:top w:w="0" w:type="dxa"/>
              <w:left w:w="0" w:type="dxa"/>
              <w:bottom w:w="0" w:type="dxa"/>
              <w:right w:w="0" w:type="dxa"/>
            </w:tcMar>
            <w:vAlign w:val="center"/>
          </w:tcPr>
          <w:p w14:paraId="6C7792FF">
            <w:pPr>
              <w:autoSpaceDN w:val="0"/>
              <w:adjustRightInd w:val="0"/>
              <w:snapToGrid w:val="0"/>
              <w:jc w:val="center"/>
              <w:rPr>
                <w:rFonts w:ascii="宋体" w:hAnsi="宋体"/>
                <w:szCs w:val="21"/>
              </w:rPr>
            </w:pPr>
            <w:r>
              <w:rPr>
                <w:rFonts w:ascii="宋体" w:hAnsi="宋体"/>
                <w:szCs w:val="21"/>
              </w:rPr>
              <w:t>-</w:t>
            </w:r>
          </w:p>
        </w:tc>
      </w:tr>
      <w:tr w14:paraId="79A4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9EA377D">
            <w:pPr>
              <w:jc w:val="center"/>
              <w:rPr>
                <w:rFonts w:ascii="宋体" w:hAnsi="宋体"/>
                <w:szCs w:val="21"/>
              </w:rPr>
            </w:pPr>
          </w:p>
        </w:tc>
        <w:tc>
          <w:tcPr>
            <w:tcW w:w="703" w:type="dxa"/>
            <w:vMerge w:val="continue"/>
            <w:tcMar>
              <w:top w:w="0" w:type="dxa"/>
              <w:left w:w="0" w:type="dxa"/>
              <w:bottom w:w="0" w:type="dxa"/>
              <w:right w:w="0" w:type="dxa"/>
            </w:tcMar>
            <w:vAlign w:val="center"/>
          </w:tcPr>
          <w:p w14:paraId="601C1C50">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57693BF">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7AFA66D7">
            <w:pPr>
              <w:autoSpaceDN w:val="0"/>
              <w:jc w:val="center"/>
              <w:rPr>
                <w:rFonts w:ascii="宋体" w:hAnsi="宋体"/>
                <w:szCs w:val="21"/>
              </w:rPr>
            </w:pPr>
            <w:r>
              <w:rPr>
                <w:rFonts w:ascii="宋体" w:hAnsi="宋体"/>
                <w:szCs w:val="21"/>
              </w:rPr>
              <w:t>50&gt; Ni≥20</w:t>
            </w:r>
          </w:p>
        </w:tc>
        <w:tc>
          <w:tcPr>
            <w:tcW w:w="851" w:type="dxa"/>
            <w:tcMar>
              <w:top w:w="0" w:type="dxa"/>
              <w:left w:w="0" w:type="dxa"/>
              <w:bottom w:w="0" w:type="dxa"/>
              <w:right w:w="0" w:type="dxa"/>
            </w:tcMar>
            <w:vAlign w:val="center"/>
          </w:tcPr>
          <w:p w14:paraId="2BC4E42E">
            <w:pPr>
              <w:autoSpaceDN w:val="0"/>
              <w:adjustRightInd w:val="0"/>
              <w:snapToGrid w:val="0"/>
              <w:jc w:val="center"/>
              <w:rPr>
                <w:rFonts w:ascii="宋体" w:hAnsi="宋体"/>
                <w:szCs w:val="21"/>
              </w:rPr>
            </w:pPr>
            <w:r>
              <w:rPr>
                <w:rFonts w:ascii="宋体" w:hAnsi="宋体"/>
                <w:szCs w:val="21"/>
              </w:rPr>
              <w:t>0.2</w:t>
            </w:r>
          </w:p>
        </w:tc>
      </w:tr>
      <w:tr w14:paraId="7565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213341DF">
            <w:pPr>
              <w:jc w:val="center"/>
              <w:rPr>
                <w:rFonts w:ascii="宋体" w:hAnsi="宋体"/>
                <w:szCs w:val="21"/>
              </w:rPr>
            </w:pPr>
          </w:p>
        </w:tc>
        <w:tc>
          <w:tcPr>
            <w:tcW w:w="703" w:type="dxa"/>
            <w:vMerge w:val="continue"/>
            <w:tcMar>
              <w:top w:w="0" w:type="dxa"/>
              <w:left w:w="0" w:type="dxa"/>
              <w:bottom w:w="0" w:type="dxa"/>
              <w:right w:w="0" w:type="dxa"/>
            </w:tcMar>
            <w:vAlign w:val="center"/>
          </w:tcPr>
          <w:p w14:paraId="1558C181">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3C11C6B2">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552BAA56">
            <w:pPr>
              <w:autoSpaceDN w:val="0"/>
              <w:jc w:val="center"/>
              <w:rPr>
                <w:rFonts w:ascii="宋体" w:hAnsi="宋体"/>
                <w:szCs w:val="21"/>
              </w:rPr>
            </w:pPr>
            <w:r>
              <w:rPr>
                <w:rFonts w:hint="eastAsia" w:ascii="宋体" w:hAnsi="宋体"/>
                <w:szCs w:val="21"/>
              </w:rPr>
              <w:t>Ni&lt;</w:t>
            </w:r>
            <w:r>
              <w:rPr>
                <w:rFonts w:ascii="宋体" w:hAnsi="宋体"/>
                <w:szCs w:val="21"/>
              </w:rPr>
              <w:t>20</w:t>
            </w:r>
          </w:p>
        </w:tc>
        <w:tc>
          <w:tcPr>
            <w:tcW w:w="851" w:type="dxa"/>
            <w:tcMar>
              <w:top w:w="0" w:type="dxa"/>
              <w:left w:w="0" w:type="dxa"/>
              <w:bottom w:w="0" w:type="dxa"/>
              <w:right w:w="0" w:type="dxa"/>
            </w:tcMar>
            <w:vAlign w:val="center"/>
          </w:tcPr>
          <w:p w14:paraId="6B60B35E">
            <w:pPr>
              <w:autoSpaceDN w:val="0"/>
              <w:adjustRightInd w:val="0"/>
              <w:snapToGrid w:val="0"/>
              <w:jc w:val="center"/>
              <w:rPr>
                <w:rFonts w:ascii="宋体" w:hAnsi="宋体"/>
                <w:szCs w:val="21"/>
              </w:rPr>
            </w:pPr>
            <w:r>
              <w:rPr>
                <w:rFonts w:hint="eastAsia" w:ascii="宋体" w:hAnsi="宋体"/>
                <w:szCs w:val="21"/>
              </w:rPr>
              <w:t>0</w:t>
            </w:r>
          </w:p>
        </w:tc>
      </w:tr>
      <w:tr w14:paraId="0F6D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Mar>
              <w:top w:w="0" w:type="dxa"/>
              <w:left w:w="0" w:type="dxa"/>
              <w:bottom w:w="0" w:type="dxa"/>
              <w:right w:w="0" w:type="dxa"/>
            </w:tcMar>
            <w:vAlign w:val="center"/>
          </w:tcPr>
          <w:p w14:paraId="3F62328D">
            <w:pPr>
              <w:jc w:val="center"/>
              <w:rPr>
                <w:rFonts w:ascii="宋体" w:hAnsi="宋体"/>
                <w:szCs w:val="21"/>
              </w:rPr>
            </w:pPr>
            <w:r>
              <w:rPr>
                <w:rFonts w:ascii="宋体" w:hAnsi="宋体"/>
                <w:szCs w:val="21"/>
              </w:rPr>
              <w:t>7</w:t>
            </w:r>
            <w:r>
              <w:rPr>
                <w:rFonts w:hint="eastAsia" w:ascii="宋体" w:hAnsi="宋体"/>
                <w:szCs w:val="21"/>
              </w:rPr>
              <w:t>.“互联网+”技术转移服务</w:t>
            </w:r>
          </w:p>
        </w:tc>
        <w:tc>
          <w:tcPr>
            <w:tcW w:w="703" w:type="dxa"/>
            <w:vMerge w:val="restart"/>
            <w:tcMar>
              <w:top w:w="0" w:type="dxa"/>
              <w:left w:w="0" w:type="dxa"/>
              <w:bottom w:w="0" w:type="dxa"/>
              <w:right w:w="0" w:type="dxa"/>
            </w:tcMar>
            <w:vAlign w:val="center"/>
          </w:tcPr>
          <w:p w14:paraId="5A74D732">
            <w:pPr>
              <w:autoSpaceDN w:val="0"/>
              <w:jc w:val="center"/>
              <w:rPr>
                <w:rFonts w:ascii="宋体" w:hAnsi="宋体"/>
                <w:szCs w:val="21"/>
              </w:rPr>
            </w:pPr>
            <w:r>
              <w:rPr>
                <w:rFonts w:ascii="宋体" w:hAnsi="宋体"/>
                <w:szCs w:val="21"/>
              </w:rPr>
              <w:t>2</w:t>
            </w:r>
            <w:r>
              <w:rPr>
                <w:rFonts w:hint="eastAsia" w:ascii="宋体" w:hAnsi="宋体"/>
                <w:szCs w:val="21"/>
              </w:rPr>
              <w:t>0</w:t>
            </w:r>
          </w:p>
        </w:tc>
        <w:tc>
          <w:tcPr>
            <w:tcW w:w="4116" w:type="dxa"/>
            <w:vMerge w:val="restart"/>
            <w:tcMar>
              <w:top w:w="0" w:type="dxa"/>
              <w:left w:w="0" w:type="dxa"/>
              <w:bottom w:w="0" w:type="dxa"/>
              <w:right w:w="0" w:type="dxa"/>
            </w:tcMar>
            <w:vAlign w:val="center"/>
          </w:tcPr>
          <w:p w14:paraId="10A7A6DA">
            <w:pPr>
              <w:autoSpaceDN w:val="0"/>
              <w:rPr>
                <w:rFonts w:ascii="宋体" w:hAnsi="宋体"/>
                <w:szCs w:val="21"/>
              </w:rPr>
            </w:pPr>
            <w:r>
              <w:rPr>
                <w:rFonts w:ascii="宋体" w:hAnsi="宋体"/>
                <w:szCs w:val="21"/>
              </w:rPr>
              <w:t>7</w:t>
            </w:r>
            <w:r>
              <w:rPr>
                <w:rFonts w:hint="eastAsia" w:ascii="宋体" w:hAnsi="宋体"/>
                <w:szCs w:val="21"/>
              </w:rPr>
              <w:t>.1 通过</w:t>
            </w:r>
            <w:r>
              <w:rPr>
                <w:rFonts w:ascii="宋体" w:hAnsi="宋体"/>
                <w:szCs w:val="21"/>
              </w:rPr>
              <w:t>蒙科聚平台</w:t>
            </w:r>
            <w:r>
              <w:rPr>
                <w:rFonts w:hint="eastAsia" w:ascii="宋体" w:hAnsi="宋体"/>
                <w:szCs w:val="21"/>
              </w:rPr>
              <w:t>发布</w:t>
            </w:r>
            <w:r>
              <w:rPr>
                <w:rFonts w:ascii="宋体" w:hAnsi="宋体"/>
                <w:szCs w:val="21"/>
              </w:rPr>
              <w:t>技术成果</w:t>
            </w:r>
            <w:r>
              <w:rPr>
                <w:rFonts w:hint="eastAsia" w:ascii="宋体" w:hAnsi="宋体"/>
                <w:szCs w:val="21"/>
              </w:rPr>
              <w:t>或</w:t>
            </w:r>
            <w:r>
              <w:rPr>
                <w:rFonts w:ascii="宋体" w:hAnsi="宋体"/>
                <w:szCs w:val="21"/>
              </w:rPr>
              <w:t>需求</w:t>
            </w:r>
            <w:r>
              <w:rPr>
                <w:rFonts w:hint="eastAsia" w:ascii="宋体" w:hAnsi="宋体"/>
                <w:szCs w:val="21"/>
              </w:rPr>
              <w:t>数(不包括</w:t>
            </w:r>
            <w:r>
              <w:rPr>
                <w:rFonts w:ascii="宋体" w:hAnsi="宋体"/>
                <w:szCs w:val="21"/>
              </w:rPr>
              <w:t>转载</w:t>
            </w:r>
            <w:r>
              <w:rPr>
                <w:rFonts w:hint="eastAsia" w:ascii="宋体" w:hAnsi="宋体"/>
                <w:szCs w:val="21"/>
              </w:rPr>
              <w:t>、</w:t>
            </w:r>
            <w:r>
              <w:rPr>
                <w:rFonts w:ascii="宋体" w:hAnsi="宋体"/>
                <w:szCs w:val="21"/>
              </w:rPr>
              <w:t>转发</w:t>
            </w:r>
            <w:r>
              <w:rPr>
                <w:rFonts w:hint="eastAsia" w:ascii="宋体" w:hAnsi="宋体"/>
                <w:szCs w:val="21"/>
              </w:rPr>
              <w:t>)</w:t>
            </w:r>
          </w:p>
        </w:tc>
        <w:tc>
          <w:tcPr>
            <w:tcW w:w="1559" w:type="dxa"/>
            <w:tcMar>
              <w:top w:w="0" w:type="dxa"/>
              <w:left w:w="0" w:type="dxa"/>
              <w:bottom w:w="0" w:type="dxa"/>
              <w:right w:w="0" w:type="dxa"/>
            </w:tcMar>
            <w:vAlign w:val="center"/>
          </w:tcPr>
          <w:p w14:paraId="7833221E">
            <w:pPr>
              <w:autoSpaceDN w:val="0"/>
              <w:jc w:val="center"/>
              <w:rPr>
                <w:rFonts w:ascii="宋体" w:hAnsi="宋体"/>
                <w:szCs w:val="21"/>
              </w:rPr>
            </w:pPr>
            <w:r>
              <w:rPr>
                <w:rFonts w:ascii="宋体" w:hAnsi="宋体"/>
                <w:szCs w:val="21"/>
              </w:rPr>
              <w:t>Ni≥200</w:t>
            </w:r>
          </w:p>
        </w:tc>
        <w:tc>
          <w:tcPr>
            <w:tcW w:w="851" w:type="dxa"/>
            <w:tcMar>
              <w:top w:w="0" w:type="dxa"/>
              <w:left w:w="0" w:type="dxa"/>
              <w:bottom w:w="0" w:type="dxa"/>
              <w:right w:w="0" w:type="dxa"/>
            </w:tcMar>
            <w:vAlign w:val="center"/>
          </w:tcPr>
          <w:p w14:paraId="3218A429">
            <w:pPr>
              <w:autoSpaceDN w:val="0"/>
              <w:adjustRightInd w:val="0"/>
              <w:snapToGrid w:val="0"/>
              <w:jc w:val="center"/>
              <w:rPr>
                <w:rFonts w:ascii="宋体" w:hAnsi="宋体"/>
                <w:szCs w:val="21"/>
              </w:rPr>
            </w:pPr>
            <w:r>
              <w:rPr>
                <w:rFonts w:ascii="宋体" w:hAnsi="宋体"/>
                <w:szCs w:val="21"/>
              </w:rPr>
              <w:t>-</w:t>
            </w:r>
          </w:p>
        </w:tc>
      </w:tr>
      <w:tr w14:paraId="1FD9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01F6DA03">
            <w:pPr>
              <w:jc w:val="center"/>
              <w:rPr>
                <w:rFonts w:ascii="宋体" w:hAnsi="宋体"/>
                <w:szCs w:val="21"/>
              </w:rPr>
            </w:pPr>
          </w:p>
        </w:tc>
        <w:tc>
          <w:tcPr>
            <w:tcW w:w="703" w:type="dxa"/>
            <w:vMerge w:val="continue"/>
            <w:tcMar>
              <w:top w:w="0" w:type="dxa"/>
              <w:left w:w="0" w:type="dxa"/>
              <w:bottom w:w="0" w:type="dxa"/>
              <w:right w:w="0" w:type="dxa"/>
            </w:tcMar>
            <w:vAlign w:val="center"/>
          </w:tcPr>
          <w:p w14:paraId="4608B30A">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4013F65C">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537212D2">
            <w:pPr>
              <w:autoSpaceDN w:val="0"/>
              <w:jc w:val="center"/>
              <w:rPr>
                <w:rFonts w:ascii="宋体" w:hAnsi="宋体"/>
                <w:szCs w:val="21"/>
              </w:rPr>
            </w:pPr>
            <w:r>
              <w:rPr>
                <w:rFonts w:ascii="宋体" w:hAnsi="宋体"/>
                <w:szCs w:val="21"/>
              </w:rPr>
              <w:t>200&gt; Ni≥50</w:t>
            </w:r>
          </w:p>
        </w:tc>
        <w:tc>
          <w:tcPr>
            <w:tcW w:w="851" w:type="dxa"/>
            <w:tcMar>
              <w:top w:w="0" w:type="dxa"/>
              <w:left w:w="0" w:type="dxa"/>
              <w:bottom w:w="0" w:type="dxa"/>
              <w:right w:w="0" w:type="dxa"/>
            </w:tcMar>
            <w:vAlign w:val="center"/>
          </w:tcPr>
          <w:p w14:paraId="14B72EDC">
            <w:pPr>
              <w:autoSpaceDN w:val="0"/>
              <w:adjustRightInd w:val="0"/>
              <w:snapToGrid w:val="0"/>
              <w:jc w:val="center"/>
              <w:rPr>
                <w:rFonts w:ascii="宋体" w:hAnsi="宋体"/>
                <w:szCs w:val="21"/>
              </w:rPr>
            </w:pPr>
            <w:r>
              <w:rPr>
                <w:rFonts w:ascii="宋体" w:hAnsi="宋体"/>
                <w:szCs w:val="21"/>
              </w:rPr>
              <w:t>0.1</w:t>
            </w:r>
          </w:p>
        </w:tc>
      </w:tr>
      <w:tr w14:paraId="6254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26188248">
            <w:pPr>
              <w:jc w:val="center"/>
              <w:rPr>
                <w:rFonts w:ascii="宋体" w:hAnsi="宋体"/>
                <w:szCs w:val="21"/>
              </w:rPr>
            </w:pPr>
          </w:p>
        </w:tc>
        <w:tc>
          <w:tcPr>
            <w:tcW w:w="703" w:type="dxa"/>
            <w:vMerge w:val="continue"/>
            <w:tcMar>
              <w:top w:w="0" w:type="dxa"/>
              <w:left w:w="0" w:type="dxa"/>
              <w:bottom w:w="0" w:type="dxa"/>
              <w:right w:w="0" w:type="dxa"/>
            </w:tcMar>
            <w:vAlign w:val="center"/>
          </w:tcPr>
          <w:p w14:paraId="7D22C897">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3219657">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148F69D5">
            <w:pPr>
              <w:autoSpaceDN w:val="0"/>
              <w:jc w:val="center"/>
              <w:rPr>
                <w:rFonts w:ascii="宋体" w:hAnsi="宋体"/>
                <w:szCs w:val="21"/>
              </w:rPr>
            </w:pPr>
            <w:r>
              <w:rPr>
                <w:rFonts w:hint="eastAsia" w:ascii="宋体" w:hAnsi="宋体"/>
                <w:szCs w:val="21"/>
              </w:rPr>
              <w:t>Ni&lt;</w:t>
            </w:r>
            <w:r>
              <w:rPr>
                <w:rFonts w:ascii="宋体" w:hAnsi="宋体"/>
                <w:szCs w:val="21"/>
              </w:rPr>
              <w:t>50</w:t>
            </w:r>
          </w:p>
        </w:tc>
        <w:tc>
          <w:tcPr>
            <w:tcW w:w="851" w:type="dxa"/>
            <w:tcMar>
              <w:top w:w="0" w:type="dxa"/>
              <w:left w:w="0" w:type="dxa"/>
              <w:bottom w:w="0" w:type="dxa"/>
              <w:right w:w="0" w:type="dxa"/>
            </w:tcMar>
            <w:vAlign w:val="center"/>
          </w:tcPr>
          <w:p w14:paraId="69D56CAB">
            <w:pPr>
              <w:autoSpaceDN w:val="0"/>
              <w:adjustRightInd w:val="0"/>
              <w:snapToGrid w:val="0"/>
              <w:jc w:val="center"/>
              <w:rPr>
                <w:rFonts w:ascii="宋体" w:hAnsi="宋体"/>
                <w:szCs w:val="21"/>
              </w:rPr>
            </w:pPr>
            <w:r>
              <w:rPr>
                <w:rFonts w:hint="eastAsia" w:ascii="宋体" w:hAnsi="宋体"/>
                <w:szCs w:val="21"/>
              </w:rPr>
              <w:t>0</w:t>
            </w:r>
          </w:p>
        </w:tc>
      </w:tr>
      <w:tr w14:paraId="5F3C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3D5D400">
            <w:pPr>
              <w:jc w:val="center"/>
              <w:rPr>
                <w:rFonts w:ascii="宋体" w:hAnsi="宋体"/>
                <w:szCs w:val="21"/>
              </w:rPr>
            </w:pPr>
          </w:p>
        </w:tc>
        <w:tc>
          <w:tcPr>
            <w:tcW w:w="703" w:type="dxa"/>
            <w:vMerge w:val="restart"/>
            <w:tcMar>
              <w:top w:w="0" w:type="dxa"/>
              <w:left w:w="0" w:type="dxa"/>
              <w:bottom w:w="0" w:type="dxa"/>
              <w:right w:w="0" w:type="dxa"/>
            </w:tcMar>
            <w:vAlign w:val="center"/>
          </w:tcPr>
          <w:p w14:paraId="089D6170">
            <w:pPr>
              <w:autoSpaceDN w:val="0"/>
              <w:jc w:val="center"/>
              <w:rPr>
                <w:rFonts w:ascii="宋体" w:hAnsi="宋体"/>
                <w:szCs w:val="21"/>
              </w:rPr>
            </w:pPr>
            <w:r>
              <w:rPr>
                <w:rFonts w:ascii="宋体" w:hAnsi="宋体"/>
                <w:szCs w:val="21"/>
              </w:rPr>
              <w:t>2</w:t>
            </w:r>
            <w:r>
              <w:rPr>
                <w:rFonts w:hint="eastAsia" w:ascii="宋体" w:hAnsi="宋体"/>
                <w:szCs w:val="21"/>
              </w:rPr>
              <w:t>0</w:t>
            </w:r>
          </w:p>
        </w:tc>
        <w:tc>
          <w:tcPr>
            <w:tcW w:w="4116" w:type="dxa"/>
            <w:vMerge w:val="restart"/>
            <w:tcMar>
              <w:top w:w="0" w:type="dxa"/>
              <w:left w:w="0" w:type="dxa"/>
              <w:bottom w:w="0" w:type="dxa"/>
              <w:right w:w="0" w:type="dxa"/>
            </w:tcMar>
            <w:vAlign w:val="center"/>
          </w:tcPr>
          <w:p w14:paraId="2F6B9E70">
            <w:pPr>
              <w:autoSpaceDN w:val="0"/>
              <w:rPr>
                <w:rFonts w:ascii="宋体" w:hAnsi="宋体"/>
                <w:szCs w:val="21"/>
              </w:rPr>
            </w:pPr>
            <w:r>
              <w:rPr>
                <w:rFonts w:ascii="宋体" w:hAnsi="宋体"/>
                <w:szCs w:val="21"/>
              </w:rPr>
              <w:t>7</w:t>
            </w:r>
            <w:r>
              <w:rPr>
                <w:rFonts w:hint="eastAsia" w:ascii="宋体" w:hAnsi="宋体"/>
                <w:szCs w:val="21"/>
              </w:rPr>
              <w:t>.2</w:t>
            </w:r>
            <w:r>
              <w:rPr>
                <w:rFonts w:ascii="宋体" w:hAnsi="宋体"/>
                <w:szCs w:val="21"/>
              </w:rPr>
              <w:t xml:space="preserve"> </w:t>
            </w:r>
            <w:r>
              <w:rPr>
                <w:rFonts w:hint="eastAsia" w:ascii="宋体" w:hAnsi="宋体"/>
                <w:szCs w:val="21"/>
              </w:rPr>
              <w:t>通过</w:t>
            </w:r>
            <w:r>
              <w:rPr>
                <w:rFonts w:ascii="宋体" w:hAnsi="宋体"/>
                <w:szCs w:val="21"/>
              </w:rPr>
              <w:t>蒙科聚平台</w:t>
            </w:r>
            <w:r>
              <w:rPr>
                <w:rFonts w:hint="eastAsia" w:ascii="宋体" w:hAnsi="宋体"/>
                <w:szCs w:val="21"/>
              </w:rPr>
              <w:t>开展技术成果项目路演</w:t>
            </w:r>
            <w:r>
              <w:rPr>
                <w:rFonts w:ascii="宋体" w:hAnsi="宋体"/>
                <w:szCs w:val="21"/>
              </w:rPr>
              <w:t>、对接活动数</w:t>
            </w:r>
            <w:r>
              <w:rPr>
                <w:rFonts w:hint="eastAsia" w:ascii="宋体" w:hAnsi="宋体"/>
                <w:szCs w:val="21"/>
              </w:rPr>
              <w:t>（每场</w:t>
            </w:r>
            <w:r>
              <w:rPr>
                <w:rFonts w:ascii="宋体" w:hAnsi="宋体"/>
                <w:szCs w:val="21"/>
              </w:rPr>
              <w:t>活动</w:t>
            </w:r>
            <w:r>
              <w:rPr>
                <w:rFonts w:hint="eastAsia" w:ascii="宋体" w:hAnsi="宋体"/>
                <w:szCs w:val="21"/>
              </w:rPr>
              <w:t>参加</w:t>
            </w:r>
            <w:r>
              <w:rPr>
                <w:rFonts w:ascii="宋体" w:hAnsi="宋体"/>
                <w:szCs w:val="21"/>
              </w:rPr>
              <w:t>人数不少于</w:t>
            </w:r>
            <w:r>
              <w:rPr>
                <w:rFonts w:hint="eastAsia" w:ascii="宋体" w:hAnsi="宋体"/>
                <w:szCs w:val="21"/>
              </w:rPr>
              <w:t>20人）</w:t>
            </w:r>
          </w:p>
        </w:tc>
        <w:tc>
          <w:tcPr>
            <w:tcW w:w="1559" w:type="dxa"/>
            <w:tcMar>
              <w:top w:w="0" w:type="dxa"/>
              <w:left w:w="0" w:type="dxa"/>
              <w:bottom w:w="0" w:type="dxa"/>
              <w:right w:w="0" w:type="dxa"/>
            </w:tcMar>
            <w:vAlign w:val="center"/>
          </w:tcPr>
          <w:p w14:paraId="5DE34474">
            <w:pPr>
              <w:autoSpaceDN w:val="0"/>
              <w:jc w:val="center"/>
              <w:rPr>
                <w:rFonts w:ascii="宋体" w:hAnsi="宋体"/>
                <w:szCs w:val="21"/>
              </w:rPr>
            </w:pPr>
            <w:r>
              <w:rPr>
                <w:rFonts w:ascii="宋体" w:hAnsi="宋体"/>
                <w:szCs w:val="21"/>
              </w:rPr>
              <w:t>Ni≥20</w:t>
            </w:r>
          </w:p>
        </w:tc>
        <w:tc>
          <w:tcPr>
            <w:tcW w:w="851" w:type="dxa"/>
            <w:tcMar>
              <w:top w:w="0" w:type="dxa"/>
              <w:left w:w="0" w:type="dxa"/>
              <w:bottom w:w="0" w:type="dxa"/>
              <w:right w:w="0" w:type="dxa"/>
            </w:tcMar>
            <w:vAlign w:val="center"/>
          </w:tcPr>
          <w:p w14:paraId="30A06312">
            <w:pPr>
              <w:autoSpaceDN w:val="0"/>
              <w:adjustRightInd w:val="0"/>
              <w:snapToGrid w:val="0"/>
              <w:jc w:val="center"/>
              <w:rPr>
                <w:rFonts w:ascii="宋体" w:hAnsi="宋体"/>
                <w:szCs w:val="21"/>
              </w:rPr>
            </w:pPr>
            <w:r>
              <w:rPr>
                <w:rFonts w:ascii="宋体" w:hAnsi="宋体"/>
                <w:szCs w:val="21"/>
              </w:rPr>
              <w:t>-</w:t>
            </w:r>
          </w:p>
        </w:tc>
      </w:tr>
      <w:tr w14:paraId="6045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0DE07E6B">
            <w:pPr>
              <w:jc w:val="center"/>
              <w:rPr>
                <w:rFonts w:ascii="宋体" w:hAnsi="宋体"/>
                <w:szCs w:val="21"/>
              </w:rPr>
            </w:pPr>
          </w:p>
        </w:tc>
        <w:tc>
          <w:tcPr>
            <w:tcW w:w="703" w:type="dxa"/>
            <w:vMerge w:val="continue"/>
            <w:tcMar>
              <w:top w:w="0" w:type="dxa"/>
              <w:left w:w="0" w:type="dxa"/>
              <w:bottom w:w="0" w:type="dxa"/>
              <w:right w:w="0" w:type="dxa"/>
            </w:tcMar>
            <w:vAlign w:val="center"/>
          </w:tcPr>
          <w:p w14:paraId="44DF3EF9">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360DCE4B">
            <w:pPr>
              <w:autoSpaceDN w:val="0"/>
              <w:rPr>
                <w:rFonts w:ascii="宋体" w:hAnsi="宋体"/>
                <w:szCs w:val="21"/>
              </w:rPr>
            </w:pPr>
          </w:p>
        </w:tc>
        <w:tc>
          <w:tcPr>
            <w:tcW w:w="1559" w:type="dxa"/>
            <w:tcMar>
              <w:top w:w="0" w:type="dxa"/>
              <w:left w:w="0" w:type="dxa"/>
              <w:bottom w:w="0" w:type="dxa"/>
              <w:right w:w="0" w:type="dxa"/>
            </w:tcMar>
            <w:vAlign w:val="center"/>
          </w:tcPr>
          <w:p w14:paraId="2C519827">
            <w:pPr>
              <w:autoSpaceDN w:val="0"/>
              <w:jc w:val="center"/>
              <w:rPr>
                <w:rFonts w:ascii="宋体" w:hAnsi="宋体"/>
                <w:szCs w:val="21"/>
              </w:rPr>
            </w:pPr>
            <w:r>
              <w:rPr>
                <w:rFonts w:ascii="宋体" w:hAnsi="宋体"/>
                <w:szCs w:val="21"/>
              </w:rPr>
              <w:t>20&gt; Ni≥5</w:t>
            </w:r>
          </w:p>
        </w:tc>
        <w:tc>
          <w:tcPr>
            <w:tcW w:w="851" w:type="dxa"/>
            <w:tcMar>
              <w:top w:w="0" w:type="dxa"/>
              <w:left w:w="0" w:type="dxa"/>
              <w:bottom w:w="0" w:type="dxa"/>
              <w:right w:w="0" w:type="dxa"/>
            </w:tcMar>
            <w:vAlign w:val="center"/>
          </w:tcPr>
          <w:p w14:paraId="1DEB74F6">
            <w:pPr>
              <w:autoSpaceDN w:val="0"/>
              <w:adjustRightInd w:val="0"/>
              <w:snapToGrid w:val="0"/>
              <w:jc w:val="center"/>
              <w:rPr>
                <w:rFonts w:ascii="宋体" w:hAnsi="宋体"/>
                <w:szCs w:val="21"/>
              </w:rPr>
            </w:pPr>
            <w:r>
              <w:rPr>
                <w:rFonts w:ascii="宋体" w:hAnsi="宋体"/>
                <w:szCs w:val="21"/>
              </w:rPr>
              <w:t>1</w:t>
            </w:r>
          </w:p>
        </w:tc>
      </w:tr>
      <w:tr w14:paraId="13F3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9941129">
            <w:pPr>
              <w:jc w:val="center"/>
              <w:rPr>
                <w:rFonts w:ascii="宋体" w:hAnsi="宋体"/>
                <w:szCs w:val="21"/>
              </w:rPr>
            </w:pPr>
          </w:p>
        </w:tc>
        <w:tc>
          <w:tcPr>
            <w:tcW w:w="703" w:type="dxa"/>
            <w:vMerge w:val="continue"/>
            <w:tcMar>
              <w:top w:w="0" w:type="dxa"/>
              <w:left w:w="0" w:type="dxa"/>
              <w:bottom w:w="0" w:type="dxa"/>
              <w:right w:w="0" w:type="dxa"/>
            </w:tcMar>
            <w:vAlign w:val="center"/>
          </w:tcPr>
          <w:p w14:paraId="7F675B8D">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700FC4E">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320F6CBC">
            <w:pPr>
              <w:autoSpaceDN w:val="0"/>
              <w:jc w:val="center"/>
              <w:rPr>
                <w:rFonts w:ascii="宋体" w:hAnsi="宋体"/>
                <w:szCs w:val="21"/>
              </w:rPr>
            </w:pPr>
            <w:r>
              <w:rPr>
                <w:rFonts w:hint="eastAsia" w:ascii="宋体" w:hAnsi="宋体"/>
                <w:szCs w:val="21"/>
              </w:rPr>
              <w:t>Ni&lt;</w:t>
            </w:r>
            <w:r>
              <w:rPr>
                <w:rFonts w:ascii="宋体" w:hAnsi="宋体"/>
                <w:szCs w:val="21"/>
              </w:rPr>
              <w:t>5</w:t>
            </w:r>
          </w:p>
        </w:tc>
        <w:tc>
          <w:tcPr>
            <w:tcW w:w="851" w:type="dxa"/>
            <w:tcMar>
              <w:top w:w="0" w:type="dxa"/>
              <w:left w:w="0" w:type="dxa"/>
              <w:bottom w:w="0" w:type="dxa"/>
              <w:right w:w="0" w:type="dxa"/>
            </w:tcMar>
            <w:vAlign w:val="center"/>
          </w:tcPr>
          <w:p w14:paraId="275A9C11">
            <w:pPr>
              <w:autoSpaceDN w:val="0"/>
              <w:adjustRightInd w:val="0"/>
              <w:snapToGrid w:val="0"/>
              <w:jc w:val="center"/>
              <w:rPr>
                <w:rFonts w:ascii="宋体" w:hAnsi="宋体"/>
                <w:szCs w:val="21"/>
              </w:rPr>
            </w:pPr>
            <w:r>
              <w:rPr>
                <w:rFonts w:hint="eastAsia" w:ascii="宋体" w:hAnsi="宋体"/>
                <w:szCs w:val="21"/>
              </w:rPr>
              <w:t>0</w:t>
            </w:r>
          </w:p>
        </w:tc>
      </w:tr>
      <w:tr w14:paraId="05C8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57735D1E">
            <w:pPr>
              <w:jc w:val="center"/>
              <w:rPr>
                <w:rFonts w:ascii="宋体" w:hAnsi="宋体"/>
                <w:szCs w:val="21"/>
              </w:rPr>
            </w:pPr>
          </w:p>
        </w:tc>
        <w:tc>
          <w:tcPr>
            <w:tcW w:w="703" w:type="dxa"/>
            <w:vMerge w:val="restart"/>
            <w:tcMar>
              <w:top w:w="0" w:type="dxa"/>
              <w:left w:w="0" w:type="dxa"/>
              <w:bottom w:w="0" w:type="dxa"/>
              <w:right w:w="0" w:type="dxa"/>
            </w:tcMar>
            <w:vAlign w:val="center"/>
          </w:tcPr>
          <w:p w14:paraId="3D765ECD">
            <w:pPr>
              <w:autoSpaceDN w:val="0"/>
              <w:jc w:val="center"/>
              <w:rPr>
                <w:rFonts w:ascii="宋体" w:hAnsi="宋体"/>
                <w:szCs w:val="21"/>
              </w:rPr>
            </w:pPr>
            <w:r>
              <w:rPr>
                <w:rFonts w:ascii="宋体" w:hAnsi="宋体"/>
                <w:szCs w:val="21"/>
              </w:rPr>
              <w:t>2</w:t>
            </w:r>
            <w:r>
              <w:rPr>
                <w:rFonts w:hint="eastAsia" w:ascii="宋体" w:hAnsi="宋体"/>
                <w:szCs w:val="21"/>
              </w:rPr>
              <w:t>0</w:t>
            </w:r>
          </w:p>
        </w:tc>
        <w:tc>
          <w:tcPr>
            <w:tcW w:w="4116" w:type="dxa"/>
            <w:vMerge w:val="restart"/>
            <w:tcMar>
              <w:top w:w="0" w:type="dxa"/>
              <w:left w:w="0" w:type="dxa"/>
              <w:bottom w:w="0" w:type="dxa"/>
              <w:right w:w="0" w:type="dxa"/>
            </w:tcMar>
            <w:vAlign w:val="center"/>
          </w:tcPr>
          <w:p w14:paraId="1AE36811">
            <w:pPr>
              <w:autoSpaceDN w:val="0"/>
              <w:rPr>
                <w:rFonts w:ascii="宋体" w:hAnsi="宋体"/>
                <w:szCs w:val="21"/>
              </w:rPr>
            </w:pPr>
            <w:r>
              <w:rPr>
                <w:rFonts w:ascii="宋体" w:hAnsi="宋体"/>
                <w:szCs w:val="21"/>
              </w:rPr>
              <w:t>7</w:t>
            </w:r>
            <w:r>
              <w:rPr>
                <w:rFonts w:hint="eastAsia" w:ascii="宋体" w:hAnsi="宋体"/>
                <w:szCs w:val="21"/>
              </w:rPr>
              <w:t>.3 通过</w:t>
            </w:r>
            <w:r>
              <w:rPr>
                <w:rFonts w:ascii="宋体" w:hAnsi="宋体"/>
                <w:szCs w:val="21"/>
              </w:rPr>
              <w:t>蒙科聚平台</w:t>
            </w:r>
            <w:r>
              <w:rPr>
                <w:rFonts w:hint="eastAsia" w:ascii="宋体" w:hAnsi="宋体"/>
                <w:szCs w:val="21"/>
              </w:rPr>
              <w:t>促成技术</w:t>
            </w:r>
            <w:r>
              <w:rPr>
                <w:rFonts w:ascii="宋体" w:hAnsi="宋体"/>
                <w:szCs w:val="21"/>
              </w:rPr>
              <w:t>成果</w:t>
            </w:r>
            <w:r>
              <w:rPr>
                <w:rFonts w:hint="eastAsia" w:ascii="宋体" w:hAnsi="宋体"/>
                <w:szCs w:val="21"/>
              </w:rPr>
              <w:t>挂牌交易、</w:t>
            </w:r>
            <w:r>
              <w:rPr>
                <w:rFonts w:ascii="宋体" w:hAnsi="宋体"/>
                <w:szCs w:val="21"/>
              </w:rPr>
              <w:t>拍卖</w:t>
            </w:r>
            <w:r>
              <w:rPr>
                <w:rFonts w:hint="eastAsia" w:ascii="宋体" w:hAnsi="宋体"/>
                <w:szCs w:val="21"/>
              </w:rPr>
              <w:t>金额</w:t>
            </w:r>
            <w:r>
              <w:rPr>
                <w:rFonts w:ascii="宋体" w:hAnsi="宋体"/>
                <w:szCs w:val="21"/>
              </w:rPr>
              <w:t>（</w:t>
            </w:r>
            <w:r>
              <w:rPr>
                <w:rFonts w:hint="eastAsia" w:ascii="宋体" w:hAnsi="宋体"/>
                <w:szCs w:val="21"/>
              </w:rPr>
              <w:t>万元</w:t>
            </w:r>
            <w:r>
              <w:rPr>
                <w:rFonts w:ascii="宋体" w:hAnsi="宋体"/>
                <w:szCs w:val="21"/>
              </w:rPr>
              <w:t>）</w:t>
            </w:r>
          </w:p>
        </w:tc>
        <w:tc>
          <w:tcPr>
            <w:tcW w:w="1559" w:type="dxa"/>
            <w:tcMar>
              <w:top w:w="0" w:type="dxa"/>
              <w:left w:w="0" w:type="dxa"/>
              <w:bottom w:w="0" w:type="dxa"/>
              <w:right w:w="0" w:type="dxa"/>
            </w:tcMar>
            <w:vAlign w:val="center"/>
          </w:tcPr>
          <w:p w14:paraId="2C61D4DD">
            <w:pPr>
              <w:autoSpaceDN w:val="0"/>
              <w:jc w:val="center"/>
              <w:rPr>
                <w:rFonts w:ascii="宋体" w:hAnsi="宋体"/>
                <w:szCs w:val="21"/>
              </w:rPr>
            </w:pPr>
            <w:r>
              <w:rPr>
                <w:rFonts w:ascii="宋体" w:hAnsi="宋体"/>
                <w:szCs w:val="21"/>
              </w:rPr>
              <w:t>Ni≥500</w:t>
            </w:r>
          </w:p>
        </w:tc>
        <w:tc>
          <w:tcPr>
            <w:tcW w:w="851" w:type="dxa"/>
            <w:tcMar>
              <w:top w:w="0" w:type="dxa"/>
              <w:left w:w="0" w:type="dxa"/>
              <w:bottom w:w="0" w:type="dxa"/>
              <w:right w:w="0" w:type="dxa"/>
            </w:tcMar>
            <w:vAlign w:val="center"/>
          </w:tcPr>
          <w:p w14:paraId="476684CE">
            <w:pPr>
              <w:autoSpaceDN w:val="0"/>
              <w:adjustRightInd w:val="0"/>
              <w:snapToGrid w:val="0"/>
              <w:jc w:val="center"/>
              <w:rPr>
                <w:rFonts w:ascii="宋体" w:hAnsi="宋体"/>
                <w:szCs w:val="21"/>
              </w:rPr>
            </w:pPr>
            <w:r>
              <w:rPr>
                <w:rFonts w:ascii="宋体" w:hAnsi="宋体"/>
                <w:szCs w:val="21"/>
              </w:rPr>
              <w:t>-</w:t>
            </w:r>
          </w:p>
        </w:tc>
      </w:tr>
      <w:tr w14:paraId="7D4B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FF34DE2">
            <w:pPr>
              <w:jc w:val="center"/>
              <w:rPr>
                <w:rFonts w:ascii="宋体" w:hAnsi="宋体"/>
                <w:szCs w:val="21"/>
              </w:rPr>
            </w:pPr>
          </w:p>
        </w:tc>
        <w:tc>
          <w:tcPr>
            <w:tcW w:w="703" w:type="dxa"/>
            <w:vMerge w:val="continue"/>
            <w:tcMar>
              <w:top w:w="0" w:type="dxa"/>
              <w:left w:w="0" w:type="dxa"/>
              <w:bottom w:w="0" w:type="dxa"/>
              <w:right w:w="0" w:type="dxa"/>
            </w:tcMar>
            <w:vAlign w:val="center"/>
          </w:tcPr>
          <w:p w14:paraId="29FFC102">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75B7A38F">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5943B722">
            <w:pPr>
              <w:autoSpaceDN w:val="0"/>
              <w:jc w:val="center"/>
              <w:rPr>
                <w:rFonts w:ascii="宋体" w:hAnsi="宋体"/>
                <w:szCs w:val="21"/>
              </w:rPr>
            </w:pPr>
            <w:r>
              <w:rPr>
                <w:rFonts w:ascii="宋体" w:hAnsi="宋体"/>
                <w:szCs w:val="21"/>
              </w:rPr>
              <w:t>500&gt; Ni≥50</w:t>
            </w:r>
          </w:p>
        </w:tc>
        <w:tc>
          <w:tcPr>
            <w:tcW w:w="851" w:type="dxa"/>
            <w:tcMar>
              <w:top w:w="0" w:type="dxa"/>
              <w:left w:w="0" w:type="dxa"/>
              <w:bottom w:w="0" w:type="dxa"/>
              <w:right w:w="0" w:type="dxa"/>
            </w:tcMar>
            <w:vAlign w:val="center"/>
          </w:tcPr>
          <w:p w14:paraId="74466F09">
            <w:pPr>
              <w:autoSpaceDN w:val="0"/>
              <w:adjustRightInd w:val="0"/>
              <w:snapToGrid w:val="0"/>
              <w:jc w:val="center"/>
              <w:rPr>
                <w:rFonts w:ascii="宋体" w:hAnsi="宋体"/>
                <w:szCs w:val="21"/>
              </w:rPr>
            </w:pPr>
            <w:r>
              <w:rPr>
                <w:rFonts w:ascii="宋体" w:hAnsi="宋体"/>
                <w:szCs w:val="21"/>
              </w:rPr>
              <w:t>0.04</w:t>
            </w:r>
          </w:p>
        </w:tc>
      </w:tr>
      <w:tr w14:paraId="78CB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214EB4EE">
            <w:pPr>
              <w:jc w:val="center"/>
              <w:rPr>
                <w:rFonts w:ascii="宋体" w:hAnsi="宋体"/>
                <w:szCs w:val="21"/>
              </w:rPr>
            </w:pPr>
          </w:p>
        </w:tc>
        <w:tc>
          <w:tcPr>
            <w:tcW w:w="703" w:type="dxa"/>
            <w:vMerge w:val="continue"/>
            <w:tcMar>
              <w:top w:w="0" w:type="dxa"/>
              <w:left w:w="0" w:type="dxa"/>
              <w:bottom w:w="0" w:type="dxa"/>
              <w:right w:w="0" w:type="dxa"/>
            </w:tcMar>
            <w:vAlign w:val="center"/>
          </w:tcPr>
          <w:p w14:paraId="7C013A93">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76B1E9E">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2D83CD01">
            <w:pPr>
              <w:autoSpaceDN w:val="0"/>
              <w:jc w:val="center"/>
              <w:rPr>
                <w:rFonts w:ascii="宋体" w:hAnsi="宋体"/>
                <w:szCs w:val="21"/>
              </w:rPr>
            </w:pPr>
            <w:r>
              <w:rPr>
                <w:rFonts w:hint="eastAsia" w:ascii="宋体" w:hAnsi="宋体"/>
                <w:szCs w:val="21"/>
              </w:rPr>
              <w:t>Ni&lt;</w:t>
            </w:r>
            <w:r>
              <w:rPr>
                <w:rFonts w:ascii="宋体" w:hAnsi="宋体"/>
                <w:szCs w:val="21"/>
              </w:rPr>
              <w:t>50</w:t>
            </w:r>
          </w:p>
        </w:tc>
        <w:tc>
          <w:tcPr>
            <w:tcW w:w="851" w:type="dxa"/>
            <w:tcMar>
              <w:top w:w="0" w:type="dxa"/>
              <w:left w:w="0" w:type="dxa"/>
              <w:bottom w:w="0" w:type="dxa"/>
              <w:right w:w="0" w:type="dxa"/>
            </w:tcMar>
            <w:vAlign w:val="center"/>
          </w:tcPr>
          <w:p w14:paraId="67ED4AFF">
            <w:pPr>
              <w:autoSpaceDN w:val="0"/>
              <w:adjustRightInd w:val="0"/>
              <w:snapToGrid w:val="0"/>
              <w:jc w:val="center"/>
              <w:rPr>
                <w:rFonts w:ascii="宋体" w:hAnsi="宋体"/>
                <w:szCs w:val="21"/>
              </w:rPr>
            </w:pPr>
            <w:r>
              <w:rPr>
                <w:rFonts w:hint="eastAsia" w:ascii="宋体" w:hAnsi="宋体"/>
                <w:szCs w:val="21"/>
              </w:rPr>
              <w:t>0</w:t>
            </w:r>
          </w:p>
        </w:tc>
      </w:tr>
      <w:tr w14:paraId="0E9A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78EEB138">
            <w:pPr>
              <w:jc w:val="center"/>
              <w:rPr>
                <w:rFonts w:ascii="宋体" w:hAnsi="宋体"/>
                <w:szCs w:val="21"/>
              </w:rPr>
            </w:pPr>
          </w:p>
        </w:tc>
        <w:tc>
          <w:tcPr>
            <w:tcW w:w="703" w:type="dxa"/>
            <w:vMerge w:val="restart"/>
            <w:tcMar>
              <w:top w:w="0" w:type="dxa"/>
              <w:left w:w="0" w:type="dxa"/>
              <w:bottom w:w="0" w:type="dxa"/>
              <w:right w:w="0" w:type="dxa"/>
            </w:tcMar>
            <w:vAlign w:val="center"/>
          </w:tcPr>
          <w:p w14:paraId="1C62361A">
            <w:pPr>
              <w:autoSpaceDN w:val="0"/>
              <w:jc w:val="center"/>
              <w:rPr>
                <w:rFonts w:ascii="宋体" w:hAnsi="宋体"/>
                <w:szCs w:val="21"/>
              </w:rPr>
            </w:pPr>
            <w:r>
              <w:rPr>
                <w:rFonts w:hint="eastAsia" w:ascii="宋体" w:hAnsi="宋体"/>
                <w:szCs w:val="21"/>
              </w:rPr>
              <w:t>10</w:t>
            </w:r>
          </w:p>
        </w:tc>
        <w:tc>
          <w:tcPr>
            <w:tcW w:w="4116" w:type="dxa"/>
            <w:vMerge w:val="restart"/>
            <w:tcMar>
              <w:top w:w="0" w:type="dxa"/>
              <w:left w:w="0" w:type="dxa"/>
              <w:bottom w:w="0" w:type="dxa"/>
              <w:right w:w="0" w:type="dxa"/>
            </w:tcMar>
            <w:vAlign w:val="center"/>
          </w:tcPr>
          <w:p w14:paraId="1FEEC138">
            <w:pPr>
              <w:autoSpaceDN w:val="0"/>
              <w:rPr>
                <w:rFonts w:ascii="宋体" w:hAnsi="宋体"/>
                <w:szCs w:val="21"/>
              </w:rPr>
            </w:pPr>
            <w:r>
              <w:rPr>
                <w:rFonts w:hint="eastAsia" w:ascii="宋体" w:hAnsi="宋体"/>
                <w:szCs w:val="21"/>
              </w:rPr>
              <w:t>7.4 服务收入（万元</w:t>
            </w:r>
            <w:r>
              <w:rPr>
                <w:rFonts w:ascii="宋体" w:hAnsi="宋体"/>
                <w:szCs w:val="21"/>
              </w:rPr>
              <w:t>）</w:t>
            </w:r>
          </w:p>
        </w:tc>
        <w:tc>
          <w:tcPr>
            <w:tcW w:w="1559" w:type="dxa"/>
            <w:tcMar>
              <w:top w:w="0" w:type="dxa"/>
              <w:left w:w="0" w:type="dxa"/>
              <w:bottom w:w="0" w:type="dxa"/>
              <w:right w:w="0" w:type="dxa"/>
            </w:tcMar>
            <w:vAlign w:val="center"/>
          </w:tcPr>
          <w:p w14:paraId="79E64D81">
            <w:pPr>
              <w:autoSpaceDN w:val="0"/>
              <w:jc w:val="center"/>
              <w:rPr>
                <w:rFonts w:ascii="宋体" w:hAnsi="宋体"/>
                <w:szCs w:val="21"/>
              </w:rPr>
            </w:pPr>
            <w:r>
              <w:rPr>
                <w:rFonts w:ascii="宋体" w:hAnsi="宋体"/>
                <w:szCs w:val="21"/>
              </w:rPr>
              <w:t>Ni≥50</w:t>
            </w:r>
          </w:p>
        </w:tc>
        <w:tc>
          <w:tcPr>
            <w:tcW w:w="851" w:type="dxa"/>
            <w:tcMar>
              <w:top w:w="0" w:type="dxa"/>
              <w:left w:w="0" w:type="dxa"/>
              <w:bottom w:w="0" w:type="dxa"/>
              <w:right w:w="0" w:type="dxa"/>
            </w:tcMar>
            <w:vAlign w:val="center"/>
          </w:tcPr>
          <w:p w14:paraId="1465BC25">
            <w:pPr>
              <w:autoSpaceDN w:val="0"/>
              <w:adjustRightInd w:val="0"/>
              <w:snapToGrid w:val="0"/>
              <w:jc w:val="center"/>
              <w:rPr>
                <w:rFonts w:ascii="宋体" w:hAnsi="宋体"/>
                <w:szCs w:val="21"/>
              </w:rPr>
            </w:pPr>
            <w:r>
              <w:rPr>
                <w:rFonts w:ascii="宋体" w:hAnsi="宋体"/>
                <w:szCs w:val="21"/>
              </w:rPr>
              <w:t>-</w:t>
            </w:r>
          </w:p>
        </w:tc>
      </w:tr>
      <w:tr w14:paraId="08B1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19A594C6">
            <w:pPr>
              <w:jc w:val="center"/>
              <w:rPr>
                <w:rFonts w:ascii="宋体" w:hAnsi="宋体"/>
                <w:szCs w:val="21"/>
              </w:rPr>
            </w:pPr>
          </w:p>
        </w:tc>
        <w:tc>
          <w:tcPr>
            <w:tcW w:w="703" w:type="dxa"/>
            <w:vMerge w:val="continue"/>
            <w:tcMar>
              <w:top w:w="0" w:type="dxa"/>
              <w:left w:w="0" w:type="dxa"/>
              <w:bottom w:w="0" w:type="dxa"/>
              <w:right w:w="0" w:type="dxa"/>
            </w:tcMar>
            <w:vAlign w:val="center"/>
          </w:tcPr>
          <w:p w14:paraId="5F586B06">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15526AB1">
            <w:pPr>
              <w:autoSpaceDN w:val="0"/>
              <w:rPr>
                <w:rFonts w:ascii="宋体" w:hAnsi="宋体"/>
                <w:szCs w:val="21"/>
              </w:rPr>
            </w:pPr>
          </w:p>
        </w:tc>
        <w:tc>
          <w:tcPr>
            <w:tcW w:w="1559" w:type="dxa"/>
            <w:tcMar>
              <w:top w:w="0" w:type="dxa"/>
              <w:left w:w="0" w:type="dxa"/>
              <w:bottom w:w="0" w:type="dxa"/>
              <w:right w:w="0" w:type="dxa"/>
            </w:tcMar>
            <w:vAlign w:val="center"/>
          </w:tcPr>
          <w:p w14:paraId="225D4FE4">
            <w:pPr>
              <w:autoSpaceDN w:val="0"/>
              <w:jc w:val="center"/>
              <w:rPr>
                <w:rFonts w:ascii="宋体" w:hAnsi="宋体"/>
                <w:szCs w:val="21"/>
              </w:rPr>
            </w:pPr>
            <w:r>
              <w:rPr>
                <w:rFonts w:ascii="宋体" w:hAnsi="宋体"/>
                <w:szCs w:val="21"/>
              </w:rPr>
              <w:t>50&gt; Ni≥20</w:t>
            </w:r>
          </w:p>
        </w:tc>
        <w:tc>
          <w:tcPr>
            <w:tcW w:w="851" w:type="dxa"/>
            <w:tcMar>
              <w:top w:w="0" w:type="dxa"/>
              <w:left w:w="0" w:type="dxa"/>
              <w:bottom w:w="0" w:type="dxa"/>
              <w:right w:w="0" w:type="dxa"/>
            </w:tcMar>
            <w:vAlign w:val="center"/>
          </w:tcPr>
          <w:p w14:paraId="1F19EB0C">
            <w:pPr>
              <w:autoSpaceDN w:val="0"/>
              <w:adjustRightInd w:val="0"/>
              <w:snapToGrid w:val="0"/>
              <w:jc w:val="center"/>
              <w:rPr>
                <w:rFonts w:ascii="宋体" w:hAnsi="宋体"/>
                <w:szCs w:val="21"/>
              </w:rPr>
            </w:pPr>
            <w:r>
              <w:rPr>
                <w:rFonts w:ascii="宋体" w:hAnsi="宋体"/>
                <w:szCs w:val="21"/>
              </w:rPr>
              <w:t>0.2</w:t>
            </w:r>
          </w:p>
        </w:tc>
      </w:tr>
      <w:tr w14:paraId="3C8F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Mar>
              <w:top w:w="0" w:type="dxa"/>
              <w:left w:w="0" w:type="dxa"/>
              <w:bottom w:w="0" w:type="dxa"/>
              <w:right w:w="0" w:type="dxa"/>
            </w:tcMar>
            <w:vAlign w:val="center"/>
          </w:tcPr>
          <w:p w14:paraId="43B32AA2">
            <w:pPr>
              <w:jc w:val="center"/>
              <w:rPr>
                <w:rFonts w:ascii="宋体" w:hAnsi="宋体"/>
                <w:szCs w:val="21"/>
              </w:rPr>
            </w:pPr>
          </w:p>
        </w:tc>
        <w:tc>
          <w:tcPr>
            <w:tcW w:w="703" w:type="dxa"/>
            <w:vMerge w:val="continue"/>
            <w:tcMar>
              <w:top w:w="0" w:type="dxa"/>
              <w:left w:w="0" w:type="dxa"/>
              <w:bottom w:w="0" w:type="dxa"/>
              <w:right w:w="0" w:type="dxa"/>
            </w:tcMar>
            <w:vAlign w:val="center"/>
          </w:tcPr>
          <w:p w14:paraId="4D90EA44">
            <w:pPr>
              <w:autoSpaceDN w:val="0"/>
              <w:jc w:val="center"/>
              <w:rPr>
                <w:rFonts w:ascii="宋体" w:hAnsi="宋体"/>
                <w:szCs w:val="21"/>
              </w:rPr>
            </w:pPr>
          </w:p>
        </w:tc>
        <w:tc>
          <w:tcPr>
            <w:tcW w:w="4116" w:type="dxa"/>
            <w:vMerge w:val="continue"/>
            <w:tcMar>
              <w:top w:w="0" w:type="dxa"/>
              <w:left w:w="0" w:type="dxa"/>
              <w:bottom w:w="0" w:type="dxa"/>
              <w:right w:w="0" w:type="dxa"/>
            </w:tcMar>
            <w:vAlign w:val="center"/>
          </w:tcPr>
          <w:p w14:paraId="62EDCDEA">
            <w:pPr>
              <w:autoSpaceDN w:val="0"/>
              <w:ind w:firstLine="306" w:firstLineChars="146"/>
              <w:rPr>
                <w:rFonts w:ascii="宋体" w:hAnsi="宋体"/>
                <w:szCs w:val="21"/>
              </w:rPr>
            </w:pPr>
          </w:p>
        </w:tc>
        <w:tc>
          <w:tcPr>
            <w:tcW w:w="1559" w:type="dxa"/>
            <w:tcMar>
              <w:top w:w="0" w:type="dxa"/>
              <w:left w:w="0" w:type="dxa"/>
              <w:bottom w:w="0" w:type="dxa"/>
              <w:right w:w="0" w:type="dxa"/>
            </w:tcMar>
            <w:vAlign w:val="center"/>
          </w:tcPr>
          <w:p w14:paraId="437ACE8A">
            <w:pPr>
              <w:autoSpaceDN w:val="0"/>
              <w:jc w:val="center"/>
              <w:rPr>
                <w:rFonts w:ascii="宋体" w:hAnsi="宋体"/>
                <w:szCs w:val="21"/>
              </w:rPr>
            </w:pPr>
            <w:r>
              <w:rPr>
                <w:rFonts w:hint="eastAsia" w:ascii="宋体" w:hAnsi="宋体"/>
                <w:szCs w:val="21"/>
              </w:rPr>
              <w:t>Ni&lt;</w:t>
            </w:r>
            <w:r>
              <w:rPr>
                <w:rFonts w:ascii="宋体" w:hAnsi="宋体"/>
                <w:szCs w:val="21"/>
              </w:rPr>
              <w:t>20</w:t>
            </w:r>
          </w:p>
        </w:tc>
        <w:tc>
          <w:tcPr>
            <w:tcW w:w="851" w:type="dxa"/>
            <w:tcMar>
              <w:top w:w="0" w:type="dxa"/>
              <w:left w:w="0" w:type="dxa"/>
              <w:bottom w:w="0" w:type="dxa"/>
              <w:right w:w="0" w:type="dxa"/>
            </w:tcMar>
            <w:vAlign w:val="center"/>
          </w:tcPr>
          <w:p w14:paraId="29DA5C1E">
            <w:pPr>
              <w:autoSpaceDN w:val="0"/>
              <w:adjustRightInd w:val="0"/>
              <w:snapToGrid w:val="0"/>
              <w:jc w:val="center"/>
              <w:rPr>
                <w:rFonts w:ascii="宋体" w:hAnsi="宋体"/>
                <w:szCs w:val="21"/>
              </w:rPr>
            </w:pPr>
            <w:r>
              <w:rPr>
                <w:rFonts w:hint="eastAsia" w:ascii="宋体" w:hAnsi="宋体"/>
                <w:szCs w:val="21"/>
              </w:rPr>
              <w:t>0</w:t>
            </w:r>
          </w:p>
        </w:tc>
      </w:tr>
    </w:tbl>
    <w:p w14:paraId="5C617795">
      <w:pPr>
        <w:widowControl/>
        <w:jc w:val="left"/>
        <w:rPr>
          <w:rFonts w:ascii="宋体" w:hAnsi="宋体"/>
          <w:b/>
          <w:szCs w:val="21"/>
        </w:rPr>
      </w:pPr>
      <w:r>
        <w:rPr>
          <w:rFonts w:ascii="宋体" w:hAnsi="宋体"/>
          <w:b/>
          <w:szCs w:val="21"/>
        </w:rPr>
        <w:br w:type="page"/>
      </w:r>
    </w:p>
    <w:p w14:paraId="180A5894">
      <w:pPr>
        <w:pBdr>
          <w:top w:val="none" w:color="000000" w:sz="0" w:space="0"/>
          <w:left w:val="none" w:color="000000" w:sz="0" w:space="0"/>
          <w:bottom w:val="none" w:color="000000" w:sz="0" w:space="0"/>
          <w:right w:val="none" w:color="000000" w:sz="0" w:space="0"/>
        </w:pBdr>
        <w:autoSpaceDN w:val="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指 标 解 释</w:t>
      </w:r>
    </w:p>
    <w:p w14:paraId="20E30B8E">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p>
    <w:p w14:paraId="355FA424">
      <w:pPr>
        <w:pBdr>
          <w:top w:val="none" w:color="000000" w:sz="0" w:space="0"/>
          <w:left w:val="none" w:color="000000" w:sz="0" w:space="0"/>
          <w:bottom w:val="none" w:color="000000" w:sz="0" w:space="0"/>
          <w:right w:val="none" w:color="000000" w:sz="0" w:space="0"/>
        </w:pBdr>
        <w:autoSpaceDN w:val="0"/>
        <w:spacing w:line="500" w:lineRule="exact"/>
        <w:ind w:firstLine="562" w:firstLineChars="200"/>
        <w:rPr>
          <w:rFonts w:ascii="楷体_GB2312" w:hAnsi="楷体_GB2312" w:eastAsia="楷体_GB2312" w:cs="楷体_GB2312"/>
          <w:b/>
          <w:sz w:val="28"/>
          <w:szCs w:val="28"/>
        </w:rPr>
      </w:pPr>
      <w:r>
        <w:rPr>
          <w:rFonts w:hint="eastAsia" w:ascii="楷体_GB2312" w:hAnsi="楷体_GB2312" w:eastAsia="楷体_GB2312" w:cs="楷体_GB2312"/>
          <w:b/>
          <w:sz w:val="28"/>
          <w:szCs w:val="28"/>
        </w:rPr>
        <w:t>（一）基础指标</w:t>
      </w:r>
    </w:p>
    <w:p w14:paraId="79EA3289">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ascii="宋体" w:hAnsi="宋体"/>
          <w:b/>
          <w:sz w:val="28"/>
          <w:szCs w:val="28"/>
        </w:rPr>
        <w:t>1</w:t>
      </w:r>
      <w:r>
        <w:rPr>
          <w:rFonts w:hint="eastAsia" w:ascii="宋体" w:hAnsi="宋体" w:eastAsia="宋体"/>
          <w:b/>
          <w:sz w:val="28"/>
          <w:szCs w:val="28"/>
        </w:rPr>
        <w:t>.</w:t>
      </w:r>
      <w:r>
        <w:rPr>
          <w:rFonts w:hint="eastAsia" w:ascii="宋体" w:hAnsi="宋体"/>
          <w:b/>
          <w:sz w:val="28"/>
          <w:szCs w:val="28"/>
        </w:rPr>
        <w:t>工作</w:t>
      </w:r>
      <w:r>
        <w:rPr>
          <w:rFonts w:ascii="宋体" w:hAnsi="宋体"/>
          <w:b/>
          <w:sz w:val="28"/>
          <w:szCs w:val="28"/>
        </w:rPr>
        <w:t>团队</w:t>
      </w:r>
    </w:p>
    <w:p w14:paraId="041777BD">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hint="eastAsia" w:ascii="宋体" w:hAnsi="宋体"/>
          <w:sz w:val="28"/>
          <w:szCs w:val="28"/>
        </w:rPr>
        <w:t>考核机构中</w:t>
      </w:r>
      <w:r>
        <w:rPr>
          <w:rFonts w:ascii="宋体" w:hAnsi="宋体"/>
          <w:sz w:val="28"/>
          <w:szCs w:val="28"/>
        </w:rPr>
        <w:t>经</w:t>
      </w:r>
      <w:r>
        <w:rPr>
          <w:rFonts w:hint="eastAsia" w:ascii="宋体" w:hAnsi="宋体"/>
          <w:sz w:val="28"/>
          <w:szCs w:val="28"/>
        </w:rPr>
        <w:t>国家、</w:t>
      </w:r>
      <w:r>
        <w:rPr>
          <w:rFonts w:ascii="宋体" w:hAnsi="宋体"/>
          <w:sz w:val="28"/>
          <w:szCs w:val="28"/>
        </w:rPr>
        <w:t>自治区</w:t>
      </w:r>
      <w:r>
        <w:rPr>
          <w:rFonts w:hint="eastAsia" w:ascii="宋体" w:hAnsi="宋体"/>
          <w:sz w:val="28"/>
          <w:szCs w:val="28"/>
        </w:rPr>
        <w:t>技术转移人才</w:t>
      </w:r>
      <w:r>
        <w:rPr>
          <w:rFonts w:ascii="宋体" w:hAnsi="宋体"/>
          <w:sz w:val="28"/>
          <w:szCs w:val="28"/>
        </w:rPr>
        <w:t>培养基地</w:t>
      </w:r>
      <w:r>
        <w:rPr>
          <w:rFonts w:hint="eastAsia" w:ascii="宋体" w:hAnsi="宋体"/>
          <w:sz w:val="28"/>
          <w:szCs w:val="28"/>
        </w:rPr>
        <w:t>能力等级培训并</w:t>
      </w:r>
      <w:r>
        <w:rPr>
          <w:rFonts w:ascii="宋体" w:hAnsi="宋体"/>
          <w:sz w:val="28"/>
          <w:szCs w:val="28"/>
        </w:rPr>
        <w:t>获得培训证书的</w:t>
      </w:r>
      <w:r>
        <w:rPr>
          <w:rFonts w:hint="eastAsia" w:ascii="宋体" w:hAnsi="宋体"/>
          <w:sz w:val="28"/>
          <w:szCs w:val="28"/>
        </w:rPr>
        <w:t>专</w:t>
      </w:r>
      <w:r>
        <w:rPr>
          <w:rFonts w:ascii="宋体" w:hAnsi="宋体"/>
          <w:sz w:val="28"/>
          <w:szCs w:val="28"/>
        </w:rPr>
        <w:t>、兼</w:t>
      </w:r>
      <w:r>
        <w:rPr>
          <w:rFonts w:hint="eastAsia" w:ascii="宋体" w:hAnsi="宋体"/>
          <w:sz w:val="28"/>
          <w:szCs w:val="28"/>
        </w:rPr>
        <w:t>职初级以上技术经纪人数，</w:t>
      </w:r>
      <w:r>
        <w:rPr>
          <w:rFonts w:ascii="宋体" w:hAnsi="宋体"/>
          <w:b/>
          <w:sz w:val="28"/>
          <w:szCs w:val="28"/>
        </w:rPr>
        <w:t>专职技术经纪人</w:t>
      </w:r>
      <w:r>
        <w:rPr>
          <w:rFonts w:hint="eastAsia" w:ascii="宋体" w:hAnsi="宋体"/>
          <w:b/>
          <w:sz w:val="28"/>
          <w:szCs w:val="28"/>
        </w:rPr>
        <w:t>须</w:t>
      </w:r>
      <w:r>
        <w:rPr>
          <w:rFonts w:ascii="宋体" w:hAnsi="宋体"/>
          <w:b/>
          <w:sz w:val="28"/>
          <w:szCs w:val="28"/>
        </w:rPr>
        <w:t>提供</w:t>
      </w:r>
      <w:r>
        <w:rPr>
          <w:rFonts w:hint="eastAsia" w:ascii="宋体" w:hAnsi="宋体"/>
          <w:b/>
          <w:sz w:val="28"/>
          <w:szCs w:val="28"/>
        </w:rPr>
        <w:t>社保</w:t>
      </w:r>
      <w:r>
        <w:rPr>
          <w:rFonts w:ascii="宋体" w:hAnsi="宋体"/>
          <w:b/>
          <w:sz w:val="28"/>
          <w:szCs w:val="28"/>
        </w:rPr>
        <w:t>参保证明，兼职技术经纪人须提供兼职协议。</w:t>
      </w:r>
    </w:p>
    <w:p w14:paraId="119E3366">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hint="eastAsia" w:ascii="宋体" w:hAnsi="宋体"/>
          <w:b/>
          <w:sz w:val="28"/>
          <w:szCs w:val="28"/>
        </w:rPr>
        <w:t>2</w:t>
      </w:r>
      <w:r>
        <w:rPr>
          <w:rFonts w:hint="eastAsia" w:ascii="宋体" w:hAnsi="宋体" w:eastAsia="宋体"/>
          <w:b/>
          <w:sz w:val="28"/>
          <w:szCs w:val="28"/>
        </w:rPr>
        <w:t>.</w:t>
      </w:r>
      <w:r>
        <w:rPr>
          <w:rFonts w:hint="eastAsia" w:ascii="宋体" w:hAnsi="宋体"/>
          <w:b/>
          <w:sz w:val="28"/>
          <w:szCs w:val="28"/>
        </w:rPr>
        <w:t>服务能力</w:t>
      </w:r>
    </w:p>
    <w:p w14:paraId="020276EB">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考核机构促进技术转移和服务企业的能力。</w:t>
      </w:r>
    </w:p>
    <w:p w14:paraId="346DCF58">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上年度服务企业、高校院所数。指上年度机构提供过某项服务的企业、高校院所数量。若某企业、高校院所接受过多项或多次服务，仍按一个企业、高校院所计数。</w:t>
      </w:r>
    </w:p>
    <w:p w14:paraId="2766EACA">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服务对象满意度评价。</w:t>
      </w:r>
      <w:r>
        <w:rPr>
          <w:rFonts w:ascii="宋体" w:hAnsi="宋体"/>
          <w:sz w:val="28"/>
          <w:szCs w:val="28"/>
        </w:rPr>
        <w:t>服务对象</w:t>
      </w:r>
      <w:r>
        <w:rPr>
          <w:rFonts w:hint="eastAsia" w:ascii="宋体" w:hAnsi="宋体"/>
          <w:sz w:val="28"/>
          <w:szCs w:val="28"/>
        </w:rPr>
        <w:t>对</w:t>
      </w:r>
      <w:r>
        <w:rPr>
          <w:rFonts w:ascii="宋体" w:hAnsi="宋体"/>
          <w:sz w:val="28"/>
          <w:szCs w:val="28"/>
        </w:rPr>
        <w:t>服务机构服务</w:t>
      </w:r>
      <w:r>
        <w:rPr>
          <w:rFonts w:hint="eastAsia" w:ascii="宋体" w:hAnsi="宋体"/>
          <w:sz w:val="28"/>
          <w:szCs w:val="28"/>
        </w:rPr>
        <w:t>质量</w:t>
      </w:r>
      <w:r>
        <w:rPr>
          <w:rFonts w:ascii="宋体" w:hAnsi="宋体"/>
          <w:sz w:val="28"/>
          <w:szCs w:val="28"/>
        </w:rPr>
        <w:t>的综合评价</w:t>
      </w:r>
      <w:r>
        <w:rPr>
          <w:rFonts w:hint="eastAsia" w:ascii="宋体" w:hAnsi="宋体"/>
          <w:sz w:val="28"/>
          <w:szCs w:val="28"/>
        </w:rPr>
        <w:t>材料</w:t>
      </w:r>
      <w:r>
        <w:rPr>
          <w:rFonts w:ascii="宋体" w:hAnsi="宋体"/>
          <w:sz w:val="28"/>
          <w:szCs w:val="28"/>
        </w:rPr>
        <w:t>，</w:t>
      </w:r>
      <w:r>
        <w:rPr>
          <w:rFonts w:hint="eastAsia" w:ascii="宋体" w:hAnsi="宋体"/>
          <w:sz w:val="28"/>
          <w:szCs w:val="28"/>
        </w:rPr>
        <w:t>以</w:t>
      </w:r>
      <w:r>
        <w:rPr>
          <w:rFonts w:ascii="宋体" w:hAnsi="宋体"/>
          <w:sz w:val="28"/>
          <w:szCs w:val="28"/>
        </w:rPr>
        <w:t>服务对象</w:t>
      </w:r>
      <w:r>
        <w:rPr>
          <w:rFonts w:hint="eastAsia" w:ascii="宋体" w:hAnsi="宋体"/>
          <w:sz w:val="28"/>
          <w:szCs w:val="28"/>
        </w:rPr>
        <w:t>给出</w:t>
      </w:r>
      <w:r>
        <w:rPr>
          <w:rFonts w:ascii="宋体" w:hAnsi="宋体"/>
          <w:sz w:val="28"/>
          <w:szCs w:val="28"/>
        </w:rPr>
        <w:t>并</w:t>
      </w:r>
      <w:r>
        <w:rPr>
          <w:rFonts w:hint="eastAsia" w:ascii="宋体" w:hAnsi="宋体"/>
          <w:sz w:val="28"/>
          <w:szCs w:val="28"/>
        </w:rPr>
        <w:t>加盖公章的</w:t>
      </w:r>
      <w:r>
        <w:rPr>
          <w:rFonts w:ascii="宋体" w:hAnsi="宋体"/>
          <w:sz w:val="28"/>
          <w:szCs w:val="28"/>
        </w:rPr>
        <w:t>相关证明材料</w:t>
      </w:r>
      <w:r>
        <w:rPr>
          <w:rFonts w:hint="eastAsia" w:ascii="宋体" w:hAnsi="宋体"/>
          <w:sz w:val="28"/>
          <w:szCs w:val="28"/>
        </w:rPr>
        <w:t>为</w:t>
      </w:r>
      <w:r>
        <w:rPr>
          <w:rFonts w:ascii="宋体" w:hAnsi="宋体"/>
          <w:sz w:val="28"/>
          <w:szCs w:val="28"/>
        </w:rPr>
        <w:t>准。</w:t>
      </w:r>
      <w:r>
        <w:rPr>
          <w:rFonts w:hint="eastAsia" w:ascii="宋体" w:hAnsi="宋体"/>
          <w:sz w:val="28"/>
          <w:szCs w:val="28"/>
        </w:rPr>
        <w:t>按照服务</w:t>
      </w:r>
      <w:r>
        <w:rPr>
          <w:rFonts w:ascii="宋体" w:hAnsi="宋体"/>
          <w:sz w:val="28"/>
          <w:szCs w:val="28"/>
        </w:rPr>
        <w:t>对象</w:t>
      </w:r>
      <w:r>
        <w:rPr>
          <w:rFonts w:hint="eastAsia" w:ascii="宋体" w:hAnsi="宋体"/>
          <w:sz w:val="28"/>
          <w:szCs w:val="28"/>
        </w:rPr>
        <w:t>评价</w:t>
      </w:r>
      <w:r>
        <w:rPr>
          <w:rFonts w:ascii="宋体" w:hAnsi="宋体"/>
          <w:sz w:val="28"/>
          <w:szCs w:val="28"/>
        </w:rPr>
        <w:t>为</w:t>
      </w:r>
      <w:r>
        <w:rPr>
          <w:rFonts w:hint="eastAsia" w:ascii="宋体" w:hAnsi="宋体"/>
          <w:sz w:val="28"/>
          <w:szCs w:val="28"/>
        </w:rPr>
        <w:t>满意的数量/</w:t>
      </w:r>
      <w:r>
        <w:rPr>
          <w:rFonts w:ascii="宋体" w:hAnsi="宋体"/>
          <w:sz w:val="28"/>
          <w:szCs w:val="28"/>
        </w:rPr>
        <w:t>服务对象总数</w:t>
      </w:r>
      <w:r>
        <w:rPr>
          <w:rFonts w:hint="eastAsia" w:ascii="宋体" w:hAnsi="宋体"/>
          <w:sz w:val="28"/>
          <w:szCs w:val="28"/>
        </w:rPr>
        <w:t>计算</w:t>
      </w:r>
      <w:r>
        <w:rPr>
          <w:rFonts w:ascii="宋体" w:hAnsi="宋体"/>
          <w:sz w:val="28"/>
          <w:szCs w:val="28"/>
        </w:rPr>
        <w:t>。</w:t>
      </w:r>
    </w:p>
    <w:p w14:paraId="462C688A">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执行技术转移服务规范情况。主要考核机构是否按照国家《技术转移服务规范》（GB/T 34670-2017）提供规范化服务。严格执行</w:t>
      </w:r>
      <w:r>
        <w:rPr>
          <w:rFonts w:ascii="宋体" w:hAnsi="宋体"/>
          <w:sz w:val="28"/>
          <w:szCs w:val="28"/>
        </w:rPr>
        <w:t>规范</w:t>
      </w:r>
      <w:r>
        <w:rPr>
          <w:rFonts w:hint="eastAsia" w:ascii="宋体" w:hAnsi="宋体"/>
          <w:sz w:val="28"/>
          <w:szCs w:val="28"/>
        </w:rPr>
        <w:t>规定的</w:t>
      </w:r>
      <w:r>
        <w:rPr>
          <w:rFonts w:ascii="宋体" w:hAnsi="宋体"/>
          <w:sz w:val="28"/>
          <w:szCs w:val="28"/>
        </w:rPr>
        <w:t>服务要求和</w:t>
      </w:r>
      <w:r>
        <w:rPr>
          <w:rFonts w:hint="eastAsia" w:ascii="宋体" w:hAnsi="宋体"/>
          <w:sz w:val="28"/>
          <w:szCs w:val="28"/>
        </w:rPr>
        <w:t>服务</w:t>
      </w:r>
      <w:r>
        <w:rPr>
          <w:rFonts w:ascii="宋体" w:hAnsi="宋体"/>
          <w:sz w:val="28"/>
          <w:szCs w:val="28"/>
        </w:rPr>
        <w:t>流程为好，</w:t>
      </w:r>
      <w:r>
        <w:rPr>
          <w:rFonts w:hint="eastAsia" w:ascii="宋体" w:hAnsi="宋体"/>
          <w:sz w:val="28"/>
          <w:szCs w:val="28"/>
        </w:rPr>
        <w:t>部分</w:t>
      </w:r>
      <w:r>
        <w:rPr>
          <w:rFonts w:ascii="宋体" w:hAnsi="宋体"/>
          <w:sz w:val="28"/>
          <w:szCs w:val="28"/>
        </w:rPr>
        <w:t>执行</w:t>
      </w:r>
      <w:r>
        <w:rPr>
          <w:rFonts w:hint="eastAsia" w:ascii="宋体" w:hAnsi="宋体"/>
          <w:sz w:val="28"/>
          <w:szCs w:val="28"/>
        </w:rPr>
        <w:t>的为</w:t>
      </w:r>
      <w:r>
        <w:rPr>
          <w:rFonts w:ascii="宋体" w:hAnsi="宋体"/>
          <w:sz w:val="28"/>
          <w:szCs w:val="28"/>
        </w:rPr>
        <w:t>中</w:t>
      </w:r>
      <w:r>
        <w:rPr>
          <w:rFonts w:hint="eastAsia" w:ascii="宋体" w:hAnsi="宋体"/>
          <w:sz w:val="28"/>
          <w:szCs w:val="28"/>
        </w:rPr>
        <w:t>，未执行</w:t>
      </w:r>
      <w:r>
        <w:rPr>
          <w:rFonts w:ascii="宋体" w:hAnsi="宋体"/>
          <w:sz w:val="28"/>
          <w:szCs w:val="28"/>
        </w:rPr>
        <w:t>的</w:t>
      </w:r>
      <w:r>
        <w:rPr>
          <w:rFonts w:hint="eastAsia" w:ascii="宋体" w:hAnsi="宋体"/>
          <w:sz w:val="28"/>
          <w:szCs w:val="28"/>
        </w:rPr>
        <w:t>为差。</w:t>
      </w:r>
    </w:p>
    <w:p w14:paraId="1B83D186">
      <w:pPr>
        <w:pBdr>
          <w:top w:val="none" w:color="000000" w:sz="0" w:space="0"/>
          <w:left w:val="none" w:color="000000" w:sz="0" w:space="0"/>
          <w:bottom w:val="none" w:color="000000" w:sz="0" w:space="0"/>
          <w:right w:val="none" w:color="000000" w:sz="0" w:space="0"/>
        </w:pBdr>
        <w:autoSpaceDN w:val="0"/>
        <w:spacing w:line="500" w:lineRule="exact"/>
        <w:ind w:firstLine="562" w:firstLineChars="200"/>
        <w:rPr>
          <w:rFonts w:ascii="仿宋_GB2312" w:hAnsi="仿宋_GB2312" w:eastAsia="仿宋_GB2312" w:cs="仿宋_GB2312"/>
          <w:b/>
          <w:sz w:val="28"/>
          <w:szCs w:val="28"/>
        </w:rPr>
      </w:pPr>
      <w:r>
        <w:rPr>
          <w:rFonts w:hint="eastAsia" w:ascii="楷体_GB2312" w:hAnsi="楷体_GB2312" w:eastAsia="楷体_GB2312" w:cs="楷体_GB2312"/>
          <w:b/>
          <w:sz w:val="28"/>
          <w:szCs w:val="28"/>
        </w:rPr>
        <w:t>（二）服务业绩指标</w:t>
      </w:r>
    </w:p>
    <w:p w14:paraId="3D160E1B">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提供的服务业绩技术合同签订日期须在申报期内，申报时需提供合同的服务时限、服务金额及服务收入发票。其中：技术评价服务、技术投融资服务、“互联网+”技术转移服务三类服务合同可不办理技术合同认定登记，其他类型服务合同均应已办理技术合同认定登记，未办理技术合同认定登记的评审中可不予采信。</w:t>
      </w:r>
    </w:p>
    <w:p w14:paraId="1FB619E9">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提供服务收入证明材料应为服务机构当年的财务报表、资产负债表、利润表或经营情况表。</w:t>
      </w:r>
    </w:p>
    <w:p w14:paraId="6D111F9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hint="eastAsia" w:ascii="宋体" w:hAnsi="宋体"/>
          <w:b/>
          <w:sz w:val="28"/>
          <w:szCs w:val="28"/>
        </w:rPr>
        <w:t>3.技术</w:t>
      </w:r>
      <w:r>
        <w:rPr>
          <w:rFonts w:ascii="宋体" w:hAnsi="宋体"/>
          <w:b/>
          <w:sz w:val="28"/>
          <w:szCs w:val="28"/>
        </w:rPr>
        <w:t>开发服务</w:t>
      </w:r>
    </w:p>
    <w:p w14:paraId="0AC83D61">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ascii="宋体" w:hAnsi="宋体"/>
          <w:sz w:val="28"/>
          <w:szCs w:val="28"/>
        </w:rPr>
        <w:t>考核</w:t>
      </w:r>
      <w:r>
        <w:rPr>
          <w:rFonts w:hint="eastAsia" w:ascii="宋体" w:hAnsi="宋体"/>
          <w:sz w:val="28"/>
          <w:szCs w:val="28"/>
        </w:rPr>
        <w:t>服务机构提供以下一项或多项服务签订的技术开发合同数和服务收入：</w:t>
      </w:r>
    </w:p>
    <w:p w14:paraId="06EEB8F4">
      <w:pPr>
        <w:numPr>
          <w:ilvl w:val="0"/>
          <w:numId w:val="1"/>
        </w:num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为具有产业化前景的技术成果提供小试、中试服务；</w:t>
      </w:r>
    </w:p>
    <w:p w14:paraId="77C3DFF5">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b)</w:t>
      </w:r>
      <w:r>
        <w:rPr>
          <w:rFonts w:hint="eastAsia" w:ascii="宋体" w:hAnsi="宋体" w:eastAsia="宋体"/>
          <w:sz w:val="28"/>
          <w:szCs w:val="28"/>
        </w:rPr>
        <w:t xml:space="preserve"> </w:t>
      </w:r>
      <w:r>
        <w:rPr>
          <w:rFonts w:hint="eastAsia" w:ascii="宋体" w:hAnsi="宋体"/>
          <w:sz w:val="28"/>
          <w:szCs w:val="28"/>
        </w:rPr>
        <w:t>为核心技术成果产业化所需的相关技术和条件提供配套开发与集成服务；</w:t>
      </w:r>
    </w:p>
    <w:p w14:paraId="48C6C0B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c) 在成熟产品的基础上进行二次开发或新用途开发；</w:t>
      </w:r>
    </w:p>
    <w:p w14:paraId="6AEC3727">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d) 引进技术和设备进行消化、吸收，使相关技术实现增值的服务；</w:t>
      </w:r>
    </w:p>
    <w:p w14:paraId="32DEADC9">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e) 组织技术联盟，联合开发技术；</w:t>
      </w:r>
    </w:p>
    <w:p w14:paraId="65751138">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f) 技术路线图绘制；</w:t>
      </w:r>
    </w:p>
    <w:p w14:paraId="2357479C">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g) 技术标准制定；</w:t>
      </w:r>
    </w:p>
    <w:p w14:paraId="0C6709E6">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h) 具有特殊技术要求的非标准化检验检测服务；</w:t>
      </w:r>
    </w:p>
    <w:p w14:paraId="2B8FC21F">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i) 采用非常规技术手段开展的具有新功能、新理念的研发设计服务。</w:t>
      </w:r>
    </w:p>
    <w:p w14:paraId="568B1ABA">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hint="eastAsia" w:ascii="宋体" w:hAnsi="宋体"/>
          <w:b/>
          <w:sz w:val="28"/>
          <w:szCs w:val="28"/>
        </w:rPr>
        <w:t>4. 技术</w:t>
      </w:r>
      <w:r>
        <w:rPr>
          <w:rFonts w:ascii="宋体" w:hAnsi="宋体"/>
          <w:b/>
          <w:sz w:val="28"/>
          <w:szCs w:val="28"/>
        </w:rPr>
        <w:t>转让、许可服务</w:t>
      </w:r>
    </w:p>
    <w:p w14:paraId="6523D938">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考核服务机构提供以下一项或多项服务签订的技术转让、</w:t>
      </w:r>
      <w:r>
        <w:rPr>
          <w:rFonts w:ascii="宋体" w:hAnsi="宋体"/>
          <w:sz w:val="28"/>
          <w:szCs w:val="28"/>
        </w:rPr>
        <w:t>许可</w:t>
      </w:r>
      <w:r>
        <w:rPr>
          <w:rFonts w:hint="eastAsia" w:ascii="宋体" w:hAnsi="宋体"/>
          <w:sz w:val="28"/>
          <w:szCs w:val="28"/>
        </w:rPr>
        <w:t>（中介）</w:t>
      </w:r>
      <w:r>
        <w:rPr>
          <w:rFonts w:ascii="宋体" w:hAnsi="宋体"/>
          <w:sz w:val="28"/>
          <w:szCs w:val="28"/>
        </w:rPr>
        <w:t>服务</w:t>
      </w:r>
      <w:r>
        <w:rPr>
          <w:rFonts w:hint="eastAsia" w:ascii="宋体" w:hAnsi="宋体"/>
          <w:sz w:val="28"/>
          <w:szCs w:val="28"/>
        </w:rPr>
        <w:t>合同数、</w:t>
      </w:r>
      <w:r>
        <w:rPr>
          <w:rFonts w:ascii="宋体" w:hAnsi="宋体"/>
          <w:sz w:val="28"/>
          <w:szCs w:val="28"/>
        </w:rPr>
        <w:t>促成</w:t>
      </w:r>
      <w:r>
        <w:rPr>
          <w:rFonts w:hint="eastAsia" w:ascii="宋体" w:hAnsi="宋体"/>
          <w:sz w:val="28"/>
          <w:szCs w:val="28"/>
        </w:rPr>
        <w:t>技术</w:t>
      </w:r>
      <w:r>
        <w:rPr>
          <w:rFonts w:ascii="宋体" w:hAnsi="宋体"/>
          <w:sz w:val="28"/>
          <w:szCs w:val="28"/>
        </w:rPr>
        <w:t>交易金额</w:t>
      </w:r>
      <w:r>
        <w:rPr>
          <w:rFonts w:hint="eastAsia" w:ascii="宋体" w:hAnsi="宋体"/>
          <w:sz w:val="28"/>
          <w:szCs w:val="28"/>
        </w:rPr>
        <w:t>和服务收入：</w:t>
      </w:r>
    </w:p>
    <w:p w14:paraId="603D754F">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a) 为促成专利权、专利申请权转让和专利实施许可提供的服务；</w:t>
      </w:r>
    </w:p>
    <w:p w14:paraId="34DE3188">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b) 为促成技术秘密和其它知识产权的转让和实施许可提供的服务，包括计算机软件著作权、集成电路布图设计专有权、植物新品种权，以及新药证书、临床批件、生产批件等；</w:t>
      </w:r>
    </w:p>
    <w:p w14:paraId="4E4D74BB">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c) 为技术入股所提供的服务；</w:t>
      </w:r>
    </w:p>
    <w:p w14:paraId="6DC9C731">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d) 为促成技术进出口所提供的服务。</w:t>
      </w:r>
    </w:p>
    <w:p w14:paraId="28C0EBED">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ascii="宋体" w:hAnsi="宋体"/>
          <w:b/>
          <w:sz w:val="28"/>
          <w:szCs w:val="28"/>
        </w:rPr>
        <w:t>5.</w:t>
      </w:r>
      <w:r>
        <w:rPr>
          <w:rFonts w:hint="eastAsia" w:ascii="宋体" w:hAnsi="宋体"/>
          <w:b/>
          <w:sz w:val="28"/>
          <w:szCs w:val="28"/>
        </w:rPr>
        <w:t>技术咨询、评价等服务</w:t>
      </w:r>
    </w:p>
    <w:p w14:paraId="1A6C320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5.1 技术咨询服务</w:t>
      </w:r>
    </w:p>
    <w:p w14:paraId="5580FC73">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考核服务机构提供以下一项或多项服务签订的技术合同数和服务收入：</w:t>
      </w:r>
    </w:p>
    <w:p w14:paraId="2F9AE64E">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a) 就区域、产业科技开发与创新及特定技术项目进行的专题技术调查、分析评价等；</w:t>
      </w:r>
    </w:p>
    <w:p w14:paraId="3031BDC4">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b) 重大工程项目、研究开发项目、技术成果推广或转化项目、重大技术改造等的可行性论证；</w:t>
      </w:r>
    </w:p>
    <w:p w14:paraId="215E0DB1">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c) 特定技术领域、行业、专业技术发展的技术预测；</w:t>
      </w:r>
    </w:p>
    <w:p w14:paraId="567F9146">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d) 技术产品、服务、工艺分析和技术方案的比较与选择；</w:t>
      </w:r>
    </w:p>
    <w:p w14:paraId="1EA52A84">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e) 专用设施、设备、仪器、装置及技术系统的技术性能分析；</w:t>
      </w:r>
    </w:p>
    <w:p w14:paraId="6610B55C">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f) 技术路线选择的研究、分析；</w:t>
      </w:r>
    </w:p>
    <w:p w14:paraId="19904DD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g) 技术指导或专业培训；</w:t>
      </w:r>
    </w:p>
    <w:p w14:paraId="2A912D07">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h) 对特定技术信息的收集、处理、加工等。</w:t>
      </w:r>
    </w:p>
    <w:p w14:paraId="064571F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i) 专利检索；</w:t>
      </w:r>
    </w:p>
    <w:p w14:paraId="1EAD528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Cs/>
          <w:sz w:val="28"/>
          <w:szCs w:val="28"/>
        </w:rPr>
      </w:pPr>
      <w:r>
        <w:rPr>
          <w:rFonts w:ascii="宋体" w:hAnsi="宋体"/>
          <w:bCs/>
          <w:sz w:val="28"/>
          <w:szCs w:val="28"/>
        </w:rPr>
        <w:t xml:space="preserve">5.2 </w:t>
      </w:r>
      <w:r>
        <w:rPr>
          <w:rFonts w:hint="eastAsia" w:ascii="宋体" w:hAnsi="宋体"/>
          <w:bCs/>
          <w:sz w:val="28"/>
          <w:szCs w:val="28"/>
        </w:rPr>
        <w:t>技术评价服务</w:t>
      </w:r>
    </w:p>
    <w:p w14:paraId="7B2858DB">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考核服务机构提供以下一项或多项服务签订的技术评价合同数和服务收入：</w:t>
      </w:r>
    </w:p>
    <w:p w14:paraId="7976FB3E">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a) 技术转移项目的前期立项、中期实施、后期效果的评价；</w:t>
      </w:r>
    </w:p>
    <w:p w14:paraId="6374575C">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b) 技术成果的技术价值、经济价值、实施风险的评价；</w:t>
      </w:r>
    </w:p>
    <w:p w14:paraId="628F556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c) 技术转让、技术入股、技术并购时的价值评价；</w:t>
      </w:r>
    </w:p>
    <w:p w14:paraId="2DB3CE1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d) 技术投资行为及运营业绩的评价。</w:t>
      </w:r>
    </w:p>
    <w:p w14:paraId="47A03F7D">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ascii="宋体" w:hAnsi="宋体"/>
          <w:b/>
          <w:sz w:val="28"/>
          <w:szCs w:val="28"/>
        </w:rPr>
        <w:t>6.</w:t>
      </w:r>
      <w:r>
        <w:rPr>
          <w:rFonts w:hint="eastAsia" w:ascii="宋体" w:hAnsi="宋体"/>
          <w:b/>
          <w:sz w:val="28"/>
          <w:szCs w:val="28"/>
        </w:rPr>
        <w:t>技术投融资服务</w:t>
      </w:r>
    </w:p>
    <w:p w14:paraId="210444D9">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考核服务机构提供以下一项或多项服务签订的技术投融资服务合同数、促成科技成果质押融资贷款金额及促成技术投资、</w:t>
      </w:r>
      <w:r>
        <w:rPr>
          <w:rFonts w:ascii="宋体" w:hAnsi="宋体"/>
          <w:sz w:val="28"/>
          <w:szCs w:val="28"/>
        </w:rPr>
        <w:t>股权融资</w:t>
      </w:r>
      <w:r>
        <w:rPr>
          <w:rFonts w:hint="eastAsia" w:ascii="宋体" w:hAnsi="宋体"/>
          <w:sz w:val="28"/>
          <w:szCs w:val="28"/>
        </w:rPr>
        <w:t>到账金额和服务收入，</w:t>
      </w:r>
      <w:r>
        <w:rPr>
          <w:rFonts w:ascii="宋体" w:hAnsi="宋体"/>
          <w:sz w:val="28"/>
          <w:szCs w:val="28"/>
        </w:rPr>
        <w:t>其中</w:t>
      </w:r>
      <w:r>
        <w:rPr>
          <w:rFonts w:hint="eastAsia" w:ascii="宋体" w:hAnsi="宋体"/>
          <w:sz w:val="28"/>
          <w:szCs w:val="28"/>
        </w:rPr>
        <w:t>促成科技成果质押融资贷款金额及促成技术投资到账金额两项得分累计不</w:t>
      </w:r>
      <w:r>
        <w:rPr>
          <w:rFonts w:ascii="宋体" w:hAnsi="宋体"/>
          <w:sz w:val="28"/>
          <w:szCs w:val="28"/>
        </w:rPr>
        <w:t>超过满分</w:t>
      </w:r>
      <w:r>
        <w:rPr>
          <w:rFonts w:hint="eastAsia" w:ascii="宋体" w:hAnsi="宋体"/>
          <w:sz w:val="28"/>
          <w:szCs w:val="28"/>
        </w:rPr>
        <w:t>40分：</w:t>
      </w:r>
    </w:p>
    <w:p w14:paraId="19A790A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a)</w:t>
      </w:r>
      <w:r>
        <w:rPr>
          <w:rFonts w:ascii="宋体" w:hAnsi="宋体"/>
          <w:sz w:val="28"/>
          <w:szCs w:val="28"/>
        </w:rPr>
        <w:t xml:space="preserve"> </w:t>
      </w:r>
      <w:r>
        <w:rPr>
          <w:rFonts w:hint="eastAsia" w:ascii="宋体" w:hAnsi="宋体"/>
          <w:sz w:val="28"/>
          <w:szCs w:val="28"/>
        </w:rPr>
        <w:t>技术投资、股权融资；</w:t>
      </w:r>
    </w:p>
    <w:p w14:paraId="2F9BDAB6">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b) 技术并购；</w:t>
      </w:r>
    </w:p>
    <w:p w14:paraId="527C82EE">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c) 科技成果质押融资；</w:t>
      </w:r>
    </w:p>
    <w:p w14:paraId="093F0A0C">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d)</w:t>
      </w:r>
      <w:r>
        <w:rPr>
          <w:rFonts w:hint="eastAsia" w:ascii="宋体" w:hAnsi="宋体" w:eastAsia="宋体"/>
          <w:sz w:val="28"/>
          <w:szCs w:val="28"/>
        </w:rPr>
        <w:t xml:space="preserve"> </w:t>
      </w:r>
      <w:r>
        <w:rPr>
          <w:rFonts w:hint="eastAsia" w:ascii="宋体" w:hAnsi="宋体"/>
          <w:sz w:val="28"/>
          <w:szCs w:val="28"/>
        </w:rPr>
        <w:t>法规允许前提下的技术抵押融资；</w:t>
      </w:r>
    </w:p>
    <w:p w14:paraId="35466C7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e) 技术种子、风投等基金的引进；</w:t>
      </w:r>
    </w:p>
    <w:p w14:paraId="174285D1">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f) 技术投融资风险评价；</w:t>
      </w:r>
    </w:p>
    <w:p w14:paraId="04C24852">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g) 技术投融资风险监控咨询；</w:t>
      </w:r>
    </w:p>
    <w:p w14:paraId="505A3826">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h) 技术转移政策性信贷及专项补贴使用咨询。</w:t>
      </w:r>
    </w:p>
    <w:p w14:paraId="2D60ADF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b/>
          <w:sz w:val="28"/>
          <w:szCs w:val="28"/>
        </w:rPr>
      </w:pPr>
      <w:r>
        <w:rPr>
          <w:rFonts w:ascii="宋体" w:hAnsi="宋体"/>
          <w:b/>
          <w:sz w:val="28"/>
          <w:szCs w:val="28"/>
        </w:rPr>
        <w:t>7.</w:t>
      </w:r>
      <w:r>
        <w:rPr>
          <w:rFonts w:hint="eastAsia" w:ascii="宋体" w:hAnsi="宋体"/>
          <w:b/>
          <w:sz w:val="28"/>
          <w:szCs w:val="28"/>
        </w:rPr>
        <w:t>“互联网+”技术转移服务</w:t>
      </w:r>
    </w:p>
    <w:p w14:paraId="1AAD019F">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考核服务机构提供以下一项或多项服务过程中首发区内技术成果或需求数、开展技术成果项目路演、对接活动数、促成技术成果挂牌交易、拍卖金额、服务收入：</w:t>
      </w:r>
    </w:p>
    <w:p w14:paraId="5F24C589">
      <w:pPr>
        <w:numPr>
          <w:ilvl w:val="0"/>
          <w:numId w:val="2"/>
        </w:num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利用互联网技术，搭建技术转移服务网络平台，开展技术成果信息、技术需求信息在线发布</w:t>
      </w:r>
      <w:r>
        <w:rPr>
          <w:rFonts w:ascii="宋体" w:hAnsi="宋体"/>
          <w:sz w:val="28"/>
          <w:szCs w:val="28"/>
        </w:rPr>
        <w:t>、</w:t>
      </w:r>
      <w:r>
        <w:rPr>
          <w:rFonts w:hint="eastAsia" w:ascii="宋体" w:hAnsi="宋体"/>
          <w:sz w:val="28"/>
          <w:szCs w:val="28"/>
        </w:rPr>
        <w:t>技术成果交易公示、技术成果网上挂牌交易、竞价拍卖、技术项目网络展厅、路演、技术在线咨询服务、科技人才、在线支付等服务；</w:t>
      </w:r>
    </w:p>
    <w:p w14:paraId="61DAA528">
      <w:pPr>
        <w:tabs>
          <w:tab w:val="left" w:pos="940"/>
        </w:tabs>
        <w:spacing w:line="500" w:lineRule="exact"/>
        <w:ind w:right="-20" w:firstLine="560" w:firstLineChars="200"/>
        <w:rPr>
          <w:rFonts w:ascii="宋体" w:hAnsi="宋体"/>
          <w:sz w:val="28"/>
          <w:szCs w:val="28"/>
        </w:rPr>
      </w:pPr>
      <w:r>
        <w:rPr>
          <w:rFonts w:ascii="宋体" w:hAnsi="宋体"/>
          <w:sz w:val="28"/>
          <w:szCs w:val="28"/>
        </w:rPr>
        <w:t>b) 与知识产权、产业技术等专业性服务平台开展的信息发布、项目对接等服务；</w:t>
      </w:r>
    </w:p>
    <w:p w14:paraId="780E912B">
      <w:pPr>
        <w:spacing w:line="500" w:lineRule="exact"/>
        <w:ind w:right="-20" w:firstLine="560" w:firstLineChars="200"/>
        <w:rPr>
          <w:rFonts w:ascii="宋体" w:hAnsi="宋体"/>
          <w:sz w:val="28"/>
          <w:szCs w:val="28"/>
        </w:rPr>
      </w:pPr>
      <w:r>
        <w:rPr>
          <w:rFonts w:ascii="宋体" w:hAnsi="宋体"/>
          <w:sz w:val="28"/>
          <w:szCs w:val="28"/>
        </w:rPr>
        <w:t>c) 与</w:t>
      </w:r>
      <w:r>
        <w:rPr>
          <w:rFonts w:hint="eastAsia" w:ascii="宋体" w:hAnsi="宋体"/>
          <w:sz w:val="28"/>
          <w:szCs w:val="28"/>
        </w:rPr>
        <w:t>技术交易市场</w:t>
      </w:r>
      <w:r>
        <w:rPr>
          <w:rFonts w:ascii="宋体" w:hAnsi="宋体"/>
          <w:sz w:val="28"/>
          <w:szCs w:val="28"/>
        </w:rPr>
        <w:t>等综合性服务平台开展的互连互通、资源共享、技术交易等服务；</w:t>
      </w:r>
    </w:p>
    <w:p w14:paraId="58017CFE">
      <w:pPr>
        <w:spacing w:line="500" w:lineRule="exact"/>
        <w:ind w:right="-20" w:firstLine="560" w:firstLineChars="200"/>
        <w:rPr>
          <w:rFonts w:ascii="宋体" w:hAnsi="宋体"/>
          <w:sz w:val="28"/>
          <w:szCs w:val="28"/>
        </w:rPr>
      </w:pPr>
      <w:r>
        <w:rPr>
          <w:rFonts w:ascii="宋体" w:hAnsi="宋体"/>
          <w:sz w:val="28"/>
          <w:szCs w:val="28"/>
        </w:rPr>
        <w:t>d) 为扩展服务领域，集聚数据资源，开展的子网络平台建设和相关服务；</w:t>
      </w:r>
    </w:p>
    <w:p w14:paraId="6E6B939D">
      <w:pPr>
        <w:tabs>
          <w:tab w:val="left" w:pos="842"/>
        </w:tabs>
        <w:spacing w:line="500" w:lineRule="exact"/>
        <w:ind w:right="-20" w:firstLine="560" w:firstLineChars="200"/>
        <w:rPr>
          <w:rFonts w:ascii="宋体" w:hAnsi="宋体"/>
          <w:sz w:val="28"/>
          <w:szCs w:val="28"/>
        </w:rPr>
      </w:pPr>
      <w:r>
        <w:rPr>
          <w:rFonts w:ascii="宋体" w:hAnsi="宋体"/>
          <w:sz w:val="28"/>
          <w:szCs w:val="28"/>
        </w:rPr>
        <w:t>e) 利用大数据技术对海量数据资源进行挖掘、分析，提供有效供给与企业需求精准对接的服务；</w:t>
      </w:r>
    </w:p>
    <w:p w14:paraId="11A5D565">
      <w:pPr>
        <w:tabs>
          <w:tab w:val="left" w:pos="940"/>
        </w:tabs>
        <w:spacing w:line="500" w:lineRule="exact"/>
        <w:ind w:right="-20" w:firstLine="560" w:firstLineChars="200"/>
        <w:rPr>
          <w:rFonts w:ascii="宋体" w:hAnsi="宋体"/>
          <w:sz w:val="28"/>
          <w:szCs w:val="28"/>
        </w:rPr>
      </w:pPr>
      <w:r>
        <w:rPr>
          <w:rFonts w:ascii="宋体" w:hAnsi="宋体"/>
          <w:sz w:val="28"/>
          <w:szCs w:val="28"/>
        </w:rPr>
        <w:t>f) 利用网络平台与传统金融机构、投融资机构开展的互联网金融服务；</w:t>
      </w:r>
    </w:p>
    <w:p w14:paraId="41A18D4D">
      <w:pPr>
        <w:tabs>
          <w:tab w:val="left" w:pos="940"/>
        </w:tabs>
        <w:spacing w:line="500" w:lineRule="exact"/>
        <w:ind w:right="-20" w:firstLine="560" w:firstLineChars="200"/>
        <w:rPr>
          <w:rFonts w:ascii="宋体" w:hAnsi="宋体"/>
          <w:sz w:val="28"/>
          <w:szCs w:val="28"/>
        </w:rPr>
      </w:pPr>
      <w:r>
        <w:rPr>
          <w:rFonts w:ascii="宋体" w:hAnsi="宋体"/>
          <w:sz w:val="28"/>
          <w:szCs w:val="28"/>
        </w:rPr>
        <w:t>g) 线上线下相结合的技术转移服务</w:t>
      </w:r>
      <w:r>
        <w:rPr>
          <w:rFonts w:hint="eastAsia" w:ascii="宋体" w:hAnsi="宋体"/>
          <w:sz w:val="28"/>
          <w:szCs w:val="28"/>
        </w:rPr>
        <w:t>。</w:t>
      </w:r>
    </w:p>
    <w:p w14:paraId="51D147CD">
      <w:pPr>
        <w:pBdr>
          <w:top w:val="none" w:color="000000" w:sz="0" w:space="0"/>
          <w:left w:val="none" w:color="000000" w:sz="0" w:space="0"/>
          <w:bottom w:val="none" w:color="000000" w:sz="0" w:space="0"/>
          <w:right w:val="none" w:color="000000" w:sz="0" w:space="0"/>
        </w:pBdr>
        <w:autoSpaceDN w:val="0"/>
        <w:spacing w:line="500" w:lineRule="exact"/>
        <w:ind w:firstLine="562" w:firstLineChars="200"/>
        <w:rPr>
          <w:rFonts w:ascii="楷体_GB2312" w:hAnsi="楷体_GB2312" w:eastAsia="楷体_GB2312" w:cs="楷体_GB2312"/>
          <w:b/>
          <w:sz w:val="28"/>
          <w:szCs w:val="28"/>
        </w:rPr>
      </w:pPr>
      <w:r>
        <w:rPr>
          <w:rFonts w:hint="eastAsia" w:ascii="楷体_GB2312" w:hAnsi="楷体_GB2312" w:eastAsia="楷体_GB2312" w:cs="楷体_GB2312"/>
          <w:b/>
          <w:sz w:val="28"/>
          <w:szCs w:val="28"/>
        </w:rPr>
        <w:t>（三）计算公式</w:t>
      </w:r>
    </w:p>
    <w:p w14:paraId="2706E288">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M=∑KiMi+ ∑</w:t>
      </w:r>
      <w:r>
        <w:rPr>
          <w:rFonts w:ascii="宋体" w:hAnsi="宋体"/>
          <w:sz w:val="28"/>
          <w:szCs w:val="28"/>
        </w:rPr>
        <w:t>P</w:t>
      </w:r>
      <w:r>
        <w:rPr>
          <w:rFonts w:hint="eastAsia" w:ascii="宋体" w:hAnsi="宋体"/>
          <w:sz w:val="28"/>
          <w:szCs w:val="28"/>
        </w:rPr>
        <w:t xml:space="preserve">iKiNi </w:t>
      </w:r>
    </w:p>
    <w:p w14:paraId="21D8ABC7">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M：被评价机构的总得分。</w:t>
      </w:r>
    </w:p>
    <w:p w14:paraId="550046A7">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Ki：为变换值，即被评价机构二级指标所获得的等级系数,不置变换值的指标项得分为该项一级指标满分分值。</w:t>
      </w:r>
    </w:p>
    <w:p w14:paraId="05F5FD43">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Mi：为一级指标值，</w:t>
      </w:r>
      <w:r>
        <w:rPr>
          <w:rFonts w:ascii="宋体" w:hAnsi="宋体"/>
          <w:sz w:val="28"/>
          <w:szCs w:val="28"/>
        </w:rPr>
        <w:t>用于</w:t>
      </w:r>
      <w:r>
        <w:rPr>
          <w:rFonts w:hint="eastAsia" w:ascii="宋体" w:hAnsi="宋体"/>
          <w:sz w:val="28"/>
          <w:szCs w:val="28"/>
        </w:rPr>
        <w:t>“执行《技术转移服务规范》国家标准情况”定性</w:t>
      </w:r>
      <w:r>
        <w:rPr>
          <w:rFonts w:ascii="宋体" w:hAnsi="宋体"/>
          <w:sz w:val="28"/>
          <w:szCs w:val="28"/>
        </w:rPr>
        <w:t>指标的计算</w:t>
      </w:r>
      <w:r>
        <w:rPr>
          <w:rFonts w:hint="eastAsia" w:ascii="宋体" w:hAnsi="宋体"/>
          <w:sz w:val="28"/>
          <w:szCs w:val="28"/>
        </w:rPr>
        <w:t>评价</w:t>
      </w:r>
      <w:r>
        <w:rPr>
          <w:rFonts w:ascii="宋体" w:hAnsi="宋体"/>
          <w:sz w:val="28"/>
          <w:szCs w:val="28"/>
        </w:rPr>
        <w:t>。</w:t>
      </w:r>
    </w:p>
    <w:p w14:paraId="6227A930">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hint="eastAsia" w:ascii="宋体" w:hAnsi="宋体"/>
          <w:sz w:val="28"/>
          <w:szCs w:val="28"/>
        </w:rPr>
        <w:t>Ni：为二级指标值，用于除上述定性</w:t>
      </w:r>
      <w:r>
        <w:rPr>
          <w:rFonts w:ascii="宋体" w:hAnsi="宋体"/>
          <w:sz w:val="28"/>
          <w:szCs w:val="28"/>
        </w:rPr>
        <w:t>指标</w:t>
      </w:r>
      <w:r>
        <w:rPr>
          <w:rFonts w:hint="eastAsia" w:ascii="宋体" w:hAnsi="宋体"/>
          <w:sz w:val="28"/>
          <w:szCs w:val="28"/>
        </w:rPr>
        <w:t>以外</w:t>
      </w:r>
      <w:r>
        <w:rPr>
          <w:rFonts w:ascii="宋体" w:hAnsi="宋体"/>
          <w:sz w:val="28"/>
          <w:szCs w:val="28"/>
        </w:rPr>
        <w:t>的</w:t>
      </w:r>
      <w:r>
        <w:rPr>
          <w:rFonts w:hint="eastAsia" w:ascii="宋体" w:hAnsi="宋体"/>
          <w:sz w:val="28"/>
          <w:szCs w:val="28"/>
        </w:rPr>
        <w:t>定量</w:t>
      </w:r>
      <w:r>
        <w:rPr>
          <w:rFonts w:ascii="宋体" w:hAnsi="宋体"/>
          <w:sz w:val="28"/>
          <w:szCs w:val="28"/>
        </w:rPr>
        <w:t>指标的计算</w:t>
      </w:r>
      <w:r>
        <w:rPr>
          <w:rFonts w:hint="eastAsia" w:ascii="宋体" w:hAnsi="宋体"/>
          <w:sz w:val="28"/>
          <w:szCs w:val="28"/>
        </w:rPr>
        <w:t>评价</w:t>
      </w:r>
      <w:r>
        <w:rPr>
          <w:rFonts w:ascii="宋体" w:hAnsi="宋体"/>
          <w:sz w:val="28"/>
          <w:szCs w:val="28"/>
        </w:rPr>
        <w:t>；</w:t>
      </w:r>
    </w:p>
    <w:p w14:paraId="4F3CEE3D">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r>
        <w:rPr>
          <w:rFonts w:ascii="宋体" w:hAnsi="宋体"/>
          <w:sz w:val="28"/>
          <w:szCs w:val="28"/>
        </w:rPr>
        <w:t>P</w:t>
      </w:r>
      <w:r>
        <w:rPr>
          <w:rFonts w:hint="eastAsia" w:ascii="宋体" w:hAnsi="宋体"/>
          <w:sz w:val="28"/>
          <w:szCs w:val="28"/>
        </w:rPr>
        <w:t>i：为技术领域调节</w:t>
      </w:r>
      <w:r>
        <w:rPr>
          <w:rFonts w:ascii="宋体" w:hAnsi="宋体"/>
          <w:sz w:val="28"/>
          <w:szCs w:val="28"/>
        </w:rPr>
        <w:t>系数</w:t>
      </w:r>
      <w:r>
        <w:rPr>
          <w:rFonts w:hint="eastAsia" w:ascii="宋体" w:hAnsi="宋体"/>
          <w:sz w:val="28"/>
          <w:szCs w:val="28"/>
        </w:rPr>
        <w:t>，</w:t>
      </w:r>
      <w:r>
        <w:rPr>
          <w:rFonts w:ascii="宋体" w:hAnsi="宋体"/>
          <w:sz w:val="28"/>
          <w:szCs w:val="28"/>
        </w:rPr>
        <w:t>其中：</w:t>
      </w:r>
      <w:r>
        <w:rPr>
          <w:rFonts w:hint="eastAsia" w:ascii="宋体" w:hAnsi="宋体"/>
          <w:sz w:val="28"/>
          <w:szCs w:val="28"/>
        </w:rPr>
        <w:t>动植物</w:t>
      </w:r>
      <w:r>
        <w:rPr>
          <w:rFonts w:ascii="宋体" w:hAnsi="宋体"/>
          <w:sz w:val="28"/>
          <w:szCs w:val="28"/>
        </w:rPr>
        <w:t>新</w:t>
      </w:r>
      <w:r>
        <w:rPr>
          <w:rFonts w:hint="eastAsia" w:ascii="宋体" w:hAnsi="宋体"/>
          <w:sz w:val="28"/>
          <w:szCs w:val="28"/>
        </w:rPr>
        <w:t>品种繁育</w:t>
      </w:r>
      <w:r>
        <w:rPr>
          <w:rFonts w:ascii="宋体" w:hAnsi="宋体"/>
          <w:sz w:val="28"/>
          <w:szCs w:val="28"/>
        </w:rPr>
        <w:t>推广、种养殖技术领域</w:t>
      </w:r>
      <w:r>
        <w:rPr>
          <w:rFonts w:hint="eastAsia" w:ascii="宋体" w:hAnsi="宋体"/>
          <w:sz w:val="28"/>
          <w:szCs w:val="28"/>
        </w:rPr>
        <w:t>技术转让、许可服务的</w:t>
      </w:r>
      <w:r>
        <w:rPr>
          <w:rFonts w:ascii="宋体" w:hAnsi="宋体"/>
          <w:sz w:val="28"/>
          <w:szCs w:val="28"/>
        </w:rPr>
        <w:t>“</w:t>
      </w:r>
      <w:r>
        <w:rPr>
          <w:rFonts w:hint="eastAsia" w:ascii="宋体" w:hAnsi="宋体"/>
          <w:sz w:val="28"/>
          <w:szCs w:val="28"/>
        </w:rPr>
        <w:t>促成技术交易金额”和“服务收入”两项二级</w:t>
      </w:r>
      <w:r>
        <w:rPr>
          <w:rFonts w:ascii="宋体" w:hAnsi="宋体"/>
          <w:sz w:val="28"/>
          <w:szCs w:val="28"/>
        </w:rPr>
        <w:t>指标</w:t>
      </w:r>
      <w:r>
        <w:rPr>
          <w:rFonts w:hint="eastAsia" w:ascii="宋体" w:hAnsi="宋体"/>
          <w:sz w:val="28"/>
          <w:szCs w:val="28"/>
        </w:rPr>
        <w:t>调节系数值为3，经</w:t>
      </w:r>
      <w:r>
        <w:rPr>
          <w:rFonts w:ascii="宋体" w:hAnsi="宋体"/>
          <w:sz w:val="28"/>
          <w:szCs w:val="28"/>
        </w:rPr>
        <w:t>调节后</w:t>
      </w:r>
      <w:r>
        <w:rPr>
          <w:rFonts w:hint="eastAsia" w:ascii="宋体" w:hAnsi="宋体"/>
          <w:sz w:val="28"/>
          <w:szCs w:val="28"/>
        </w:rPr>
        <w:t>的</w:t>
      </w:r>
      <w:r>
        <w:rPr>
          <w:rFonts w:ascii="宋体" w:hAnsi="宋体"/>
          <w:sz w:val="28"/>
          <w:szCs w:val="28"/>
        </w:rPr>
        <w:t>得分最高不超过</w:t>
      </w:r>
      <w:r>
        <w:rPr>
          <w:rFonts w:hint="eastAsia" w:ascii="宋体" w:hAnsi="宋体"/>
          <w:sz w:val="28"/>
          <w:szCs w:val="28"/>
        </w:rPr>
        <w:t>该项</w:t>
      </w:r>
      <w:r>
        <w:rPr>
          <w:rFonts w:ascii="宋体" w:hAnsi="宋体"/>
          <w:sz w:val="28"/>
          <w:szCs w:val="28"/>
        </w:rPr>
        <w:t>指标</w:t>
      </w:r>
      <w:r>
        <w:rPr>
          <w:rFonts w:hint="eastAsia" w:ascii="宋体" w:hAnsi="宋体"/>
          <w:sz w:val="28"/>
          <w:szCs w:val="28"/>
        </w:rPr>
        <w:t>对应</w:t>
      </w:r>
      <w:r>
        <w:rPr>
          <w:rFonts w:ascii="宋体" w:hAnsi="宋体"/>
          <w:sz w:val="28"/>
          <w:szCs w:val="28"/>
        </w:rPr>
        <w:t>的一级指标值</w:t>
      </w:r>
      <w:r>
        <w:rPr>
          <w:rFonts w:hint="eastAsia" w:ascii="宋体" w:hAnsi="宋体"/>
          <w:sz w:val="28"/>
          <w:szCs w:val="28"/>
        </w:rPr>
        <w:t>（Mi）</w:t>
      </w:r>
      <w:r>
        <w:rPr>
          <w:rFonts w:ascii="宋体" w:hAnsi="宋体"/>
          <w:sz w:val="28"/>
          <w:szCs w:val="28"/>
        </w:rPr>
        <w:t>。</w:t>
      </w:r>
      <w:r>
        <w:rPr>
          <w:rFonts w:hint="eastAsia" w:ascii="宋体" w:hAnsi="宋体"/>
          <w:sz w:val="28"/>
          <w:szCs w:val="28"/>
        </w:rPr>
        <w:t>其他技术领域</w:t>
      </w:r>
      <w:r>
        <w:rPr>
          <w:rFonts w:ascii="宋体" w:hAnsi="宋体"/>
          <w:sz w:val="28"/>
          <w:szCs w:val="28"/>
        </w:rPr>
        <w:t>调节系数值为1</w:t>
      </w:r>
      <w:r>
        <w:rPr>
          <w:rFonts w:hint="eastAsia" w:ascii="宋体" w:hAnsi="宋体"/>
          <w:sz w:val="28"/>
          <w:szCs w:val="28"/>
        </w:rPr>
        <w:t>。</w:t>
      </w:r>
    </w:p>
    <w:p w14:paraId="4E396BDB">
      <w:pPr>
        <w:pBdr>
          <w:top w:val="none" w:color="000000" w:sz="0" w:space="0"/>
          <w:left w:val="none" w:color="000000" w:sz="0" w:space="0"/>
          <w:bottom w:val="none" w:color="000000" w:sz="0" w:space="0"/>
          <w:right w:val="none" w:color="000000" w:sz="0" w:space="0"/>
        </w:pBdr>
        <w:autoSpaceDN w:val="0"/>
        <w:spacing w:line="500" w:lineRule="exact"/>
        <w:ind w:firstLine="560" w:firstLineChars="200"/>
        <w:rPr>
          <w:rFonts w:ascii="宋体" w:hAnsi="宋体"/>
          <w:sz w:val="28"/>
          <w:szCs w:val="28"/>
        </w:rPr>
      </w:pPr>
    </w:p>
    <w:sectPr>
      <w:footerReference r:id="rId3" w:type="default"/>
      <w:footerReference r:id="rId4" w:type="even"/>
      <w:pgSz w:w="11906" w:h="16838"/>
      <w:pgMar w:top="1553" w:right="1800" w:bottom="1553"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0741685"/>
    </w:sdtPr>
    <w:sdtEndPr>
      <w:rPr>
        <w:rFonts w:ascii="宋体" w:hAnsi="宋体" w:eastAsia="宋体"/>
        <w:sz w:val="28"/>
        <w:szCs w:val="28"/>
      </w:rPr>
    </w:sdtEndPr>
    <w:sdtContent>
      <w:p w14:paraId="57DEE02D">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13 -</w:t>
        </w:r>
        <w:r>
          <w:rPr>
            <w:rFonts w:ascii="宋体" w:hAnsi="宋体" w:eastAsia="宋体"/>
            <w:sz w:val="28"/>
            <w:szCs w:val="28"/>
          </w:rPr>
          <w:fldChar w:fldCharType="end"/>
        </w:r>
      </w:p>
    </w:sdtContent>
  </w:sdt>
  <w:p w14:paraId="5C834DAC">
    <w:pPr>
      <w:pStyle w:val="6"/>
      <w:wordWrap w:val="0"/>
      <w:ind w:right="28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4712141"/>
    </w:sdtPr>
    <w:sdtEndPr>
      <w:rPr>
        <w:rFonts w:ascii="宋体" w:hAnsi="宋体" w:eastAsia="宋体"/>
        <w:sz w:val="28"/>
        <w:szCs w:val="28"/>
      </w:rPr>
    </w:sdtEndPr>
    <w:sdtContent>
      <w:p w14:paraId="2F1EC26D">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14 -</w:t>
        </w:r>
        <w:r>
          <w:rPr>
            <w:rFonts w:ascii="宋体" w:hAnsi="宋体" w:eastAsia="宋体"/>
            <w:sz w:val="28"/>
            <w:szCs w:val="28"/>
          </w:rPr>
          <w:fldChar w:fldCharType="end"/>
        </w:r>
      </w:p>
    </w:sdtContent>
  </w:sdt>
  <w:p w14:paraId="505B0215">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F61DC"/>
    <w:multiLevelType w:val="singleLevel"/>
    <w:tmpl w:val="FB4F61DC"/>
    <w:lvl w:ilvl="0" w:tentative="0">
      <w:start w:val="1"/>
      <w:numFmt w:val="lowerLetter"/>
      <w:suff w:val="space"/>
      <w:lvlText w:val="%1)"/>
      <w:lvlJc w:val="left"/>
    </w:lvl>
  </w:abstractNum>
  <w:abstractNum w:abstractNumId="1">
    <w:nsid w:val="FE7E81E2"/>
    <w:multiLevelType w:val="singleLevel"/>
    <w:tmpl w:val="FE7E81E2"/>
    <w:lvl w:ilvl="0" w:tentative="0">
      <w:start w:val="1"/>
      <w:numFmt w:val="low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DA"/>
    <w:rsid w:val="000007F7"/>
    <w:rsid w:val="00070928"/>
    <w:rsid w:val="000774CA"/>
    <w:rsid w:val="000A0130"/>
    <w:rsid w:val="000F7F85"/>
    <w:rsid w:val="001711F8"/>
    <w:rsid w:val="00177637"/>
    <w:rsid w:val="00185566"/>
    <w:rsid w:val="001944C3"/>
    <w:rsid w:val="001A1A15"/>
    <w:rsid w:val="00201DAB"/>
    <w:rsid w:val="002026E5"/>
    <w:rsid w:val="00233E47"/>
    <w:rsid w:val="00246022"/>
    <w:rsid w:val="00270DF9"/>
    <w:rsid w:val="00287ED3"/>
    <w:rsid w:val="002A2877"/>
    <w:rsid w:val="002B6D97"/>
    <w:rsid w:val="002E52E9"/>
    <w:rsid w:val="00325DC3"/>
    <w:rsid w:val="003A0862"/>
    <w:rsid w:val="003C3539"/>
    <w:rsid w:val="003C7B68"/>
    <w:rsid w:val="00422B18"/>
    <w:rsid w:val="004C284B"/>
    <w:rsid w:val="00553C45"/>
    <w:rsid w:val="005947B2"/>
    <w:rsid w:val="005D16FB"/>
    <w:rsid w:val="005D6D15"/>
    <w:rsid w:val="00627C03"/>
    <w:rsid w:val="006607B2"/>
    <w:rsid w:val="00674141"/>
    <w:rsid w:val="00680586"/>
    <w:rsid w:val="006A4EEA"/>
    <w:rsid w:val="006B68DA"/>
    <w:rsid w:val="006E5ACD"/>
    <w:rsid w:val="00706FC0"/>
    <w:rsid w:val="0071701E"/>
    <w:rsid w:val="00730873"/>
    <w:rsid w:val="00733AEF"/>
    <w:rsid w:val="00737A33"/>
    <w:rsid w:val="00781BF2"/>
    <w:rsid w:val="00791137"/>
    <w:rsid w:val="0079708D"/>
    <w:rsid w:val="007A0239"/>
    <w:rsid w:val="007C5995"/>
    <w:rsid w:val="007E3229"/>
    <w:rsid w:val="008305AA"/>
    <w:rsid w:val="008368D8"/>
    <w:rsid w:val="008B3FF0"/>
    <w:rsid w:val="008D056C"/>
    <w:rsid w:val="009042BA"/>
    <w:rsid w:val="00924383"/>
    <w:rsid w:val="00970D7C"/>
    <w:rsid w:val="009E2A04"/>
    <w:rsid w:val="009F20ED"/>
    <w:rsid w:val="00A721BE"/>
    <w:rsid w:val="00AA1925"/>
    <w:rsid w:val="00AE7587"/>
    <w:rsid w:val="00B00688"/>
    <w:rsid w:val="00B2103F"/>
    <w:rsid w:val="00B42B05"/>
    <w:rsid w:val="00B80EA3"/>
    <w:rsid w:val="00B96226"/>
    <w:rsid w:val="00BC14BF"/>
    <w:rsid w:val="00C00385"/>
    <w:rsid w:val="00C17BDA"/>
    <w:rsid w:val="00C527A8"/>
    <w:rsid w:val="00C54B67"/>
    <w:rsid w:val="00C66D39"/>
    <w:rsid w:val="00D42B8B"/>
    <w:rsid w:val="00D42E64"/>
    <w:rsid w:val="00D7352A"/>
    <w:rsid w:val="00DA77DF"/>
    <w:rsid w:val="00DF3221"/>
    <w:rsid w:val="00E65ED1"/>
    <w:rsid w:val="00E70DDE"/>
    <w:rsid w:val="00E77B79"/>
    <w:rsid w:val="00E80506"/>
    <w:rsid w:val="00EC248C"/>
    <w:rsid w:val="00EC2BA6"/>
    <w:rsid w:val="00EC3704"/>
    <w:rsid w:val="00ED6C89"/>
    <w:rsid w:val="00F05B65"/>
    <w:rsid w:val="00F533EA"/>
    <w:rsid w:val="00FD79C4"/>
    <w:rsid w:val="00FE16A9"/>
    <w:rsid w:val="05DC2CB1"/>
    <w:rsid w:val="0D2A0B05"/>
    <w:rsid w:val="0FFEAF75"/>
    <w:rsid w:val="192D33C2"/>
    <w:rsid w:val="1EDF1024"/>
    <w:rsid w:val="2FFF85F1"/>
    <w:rsid w:val="353B0265"/>
    <w:rsid w:val="39FD2856"/>
    <w:rsid w:val="3DF90A23"/>
    <w:rsid w:val="3E54132E"/>
    <w:rsid w:val="3FDE9A4D"/>
    <w:rsid w:val="46192347"/>
    <w:rsid w:val="478B1022"/>
    <w:rsid w:val="47BD362B"/>
    <w:rsid w:val="4BFF9CBC"/>
    <w:rsid w:val="4DE87F15"/>
    <w:rsid w:val="4EA03605"/>
    <w:rsid w:val="5BF69823"/>
    <w:rsid w:val="5BFEDB22"/>
    <w:rsid w:val="5E5B5C6B"/>
    <w:rsid w:val="5E7F2D03"/>
    <w:rsid w:val="5EF332DD"/>
    <w:rsid w:val="5FE89D71"/>
    <w:rsid w:val="601723D1"/>
    <w:rsid w:val="67BFD7C0"/>
    <w:rsid w:val="6DFECDBB"/>
    <w:rsid w:val="6F7F7340"/>
    <w:rsid w:val="6FBDE5F6"/>
    <w:rsid w:val="6FFC51AC"/>
    <w:rsid w:val="71BC9CA0"/>
    <w:rsid w:val="736747F2"/>
    <w:rsid w:val="75730999"/>
    <w:rsid w:val="77AB4383"/>
    <w:rsid w:val="77DD3978"/>
    <w:rsid w:val="79D7AC55"/>
    <w:rsid w:val="79DD9735"/>
    <w:rsid w:val="7AF9CA73"/>
    <w:rsid w:val="7AFF66B8"/>
    <w:rsid w:val="7DBBE4E3"/>
    <w:rsid w:val="7DD6E361"/>
    <w:rsid w:val="7DFD2993"/>
    <w:rsid w:val="7E5F1437"/>
    <w:rsid w:val="7F779E6E"/>
    <w:rsid w:val="7FB8B82F"/>
    <w:rsid w:val="7FDF34D6"/>
    <w:rsid w:val="7FF43E17"/>
    <w:rsid w:val="7FFEFB0A"/>
    <w:rsid w:val="7FFFD00C"/>
    <w:rsid w:val="83FD5208"/>
    <w:rsid w:val="9DBB6CF9"/>
    <w:rsid w:val="9F7F94D7"/>
    <w:rsid w:val="9FBE72EB"/>
    <w:rsid w:val="9FBF8C53"/>
    <w:rsid w:val="A7CB122E"/>
    <w:rsid w:val="ABB6A0B4"/>
    <w:rsid w:val="AE6BDAEA"/>
    <w:rsid w:val="AF37D3B4"/>
    <w:rsid w:val="AFA729AC"/>
    <w:rsid w:val="B06D9EC6"/>
    <w:rsid w:val="B7FF121F"/>
    <w:rsid w:val="BDAE23EB"/>
    <w:rsid w:val="BDDD2B6E"/>
    <w:rsid w:val="BEF2C860"/>
    <w:rsid w:val="BFBF119A"/>
    <w:rsid w:val="BFEC94D0"/>
    <w:rsid w:val="BFEEE48D"/>
    <w:rsid w:val="BFF78548"/>
    <w:rsid w:val="C97CE1B8"/>
    <w:rsid w:val="DBD7B6A8"/>
    <w:rsid w:val="DDFD0816"/>
    <w:rsid w:val="DED9739A"/>
    <w:rsid w:val="DF5D9404"/>
    <w:rsid w:val="DFBEEA92"/>
    <w:rsid w:val="E5A77FB3"/>
    <w:rsid w:val="E67584B8"/>
    <w:rsid w:val="EEB3F1B3"/>
    <w:rsid w:val="EEE3C615"/>
    <w:rsid w:val="EFDE76A8"/>
    <w:rsid w:val="EFFF5998"/>
    <w:rsid w:val="EFFF9A79"/>
    <w:rsid w:val="F3EFD472"/>
    <w:rsid w:val="F3F68544"/>
    <w:rsid w:val="F5ED8129"/>
    <w:rsid w:val="F5FFA217"/>
    <w:rsid w:val="F88DE16E"/>
    <w:rsid w:val="FAFF0999"/>
    <w:rsid w:val="FBF61AF3"/>
    <w:rsid w:val="FCEF545D"/>
    <w:rsid w:val="FDBF15BA"/>
    <w:rsid w:val="FDD72F13"/>
    <w:rsid w:val="FDDF60CE"/>
    <w:rsid w:val="FDFB6EF0"/>
    <w:rsid w:val="FDFF2E26"/>
    <w:rsid w:val="FEFFCDE8"/>
    <w:rsid w:val="FEFFE1B3"/>
    <w:rsid w:val="FF77E0CF"/>
    <w:rsid w:val="FF7EB6C0"/>
    <w:rsid w:val="FF8FD446"/>
    <w:rsid w:val="FFAD8D0E"/>
    <w:rsid w:val="FFBF474F"/>
    <w:rsid w:val="FFD7859B"/>
    <w:rsid w:val="FFE1CB2C"/>
    <w:rsid w:val="FFE97870"/>
    <w:rsid w:val="FFFA7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spacing w:after="140" w:line="276" w:lineRule="auto"/>
    </w:p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styleId="11">
    <w:name w:val="page number"/>
    <w:basedOn w:val="10"/>
    <w:qFormat/>
    <w:uiPriority w:val="0"/>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paragraph" w:customStyle="1" w:styleId="15">
    <w:name w:val="局发文正文"/>
    <w:basedOn w:val="1"/>
    <w:qFormat/>
    <w:uiPriority w:val="0"/>
    <w:pPr>
      <w:adjustRightInd w:val="0"/>
      <w:spacing w:line="600" w:lineRule="exact"/>
      <w:ind w:firstLine="200" w:firstLineChars="200"/>
      <w:textAlignment w:val="baseline"/>
    </w:pPr>
    <w:rPr>
      <w:rFonts w:ascii="仿宋_GB2312" w:hAnsi="Times New Roman" w:eastAsia="仿宋_GB2312"/>
      <w:caps/>
      <w:spacing w:val="6"/>
      <w:kern w:val="0"/>
      <w:sz w:val="30"/>
      <w:szCs w:val="20"/>
    </w:rPr>
  </w:style>
  <w:style w:type="character" w:customStyle="1" w:styleId="16">
    <w:name w:val="批注框文本 字符"/>
    <w:basedOn w:val="10"/>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5148</Words>
  <Characters>5554</Characters>
  <Lines>44</Lines>
  <Paragraphs>12</Paragraphs>
  <TotalTime>0</TotalTime>
  <ScaleCrop>false</ScaleCrop>
  <LinksUpToDate>false</LinksUpToDate>
  <CharactersWithSpaces>5697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2025-12-10T07:31:00Z</dcterms:created>
  <dc:creator>qihui</dc:creator>
  <cp:lastModifiedBy>北秘韶筒胁</cp:lastModifiedBy>
  <cp:lastPrinted>2025-12-10T06:33:00Z</cp:lastPrinted>
  <dcterms:modified xsi:type="dcterms:W3CDTF">2025-12-10T08:19:46Z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C1052C10628E4933831694F40D06E364_13</vt:lpwstr>
  </property>
  <property fmtid="{D5CDD505-2E9C-101B-9397-08002B2CF9AE}" pid="4" name="KSOTemplateDocerSaveRecord">
    <vt:lpwstr>eyJoZGlkIjoiMGM5NDEwYjhhYmYzYjQwMGE0MzA1NDcxZDEyNTBjZmEiLCJ1c2VySWQiOiIyNjc0Mjc4OTcifQ==</vt:lpwstr>
  </property>
</Properties>
</file>