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ind w:firstLine="601"/>
        <w:jc w:val="center"/>
        <w:rPr>
          <w:rFonts w:hint="eastAsia" w:ascii="仿宋_GB2312" w:hAnsi="仿宋_GB2312" w:eastAsia="仿宋_GB2312" w:cs="仿宋_GB2312"/>
          <w:b/>
          <w:sz w:val="32"/>
          <w:szCs w:val="32"/>
        </w:rPr>
      </w:pPr>
    </w:p>
    <w:p>
      <w:pPr>
        <w:spacing w:beforeLines="0" w:afterLines="0"/>
        <w:jc w:val="center"/>
        <w:rPr>
          <w:rFonts w:hint="eastAsia" w:ascii="方正小标宋简体" w:hAnsi="方正小标宋简体" w:eastAsia="方正小标宋简体" w:cs="方正小标宋简体"/>
          <w:b/>
          <w:sz w:val="44"/>
          <w:szCs w:val="44"/>
        </w:rPr>
      </w:pPr>
      <w:r>
        <w:rPr>
          <w:rFonts w:hint="eastAsia" w:ascii="仿宋_GB2312" w:hAnsi="仿宋_GB2312" w:eastAsia="仿宋_GB2312" w:cs="仿宋_GB2312"/>
          <w:b/>
          <w:sz w:val="32"/>
          <w:szCs w:val="32"/>
          <w:lang w:val="en-US" w:eastAsia="zh-CN"/>
        </w:rPr>
        <w:t xml:space="preserve">   </w:t>
      </w:r>
      <w:r>
        <w:rPr>
          <w:rFonts w:hint="eastAsia" w:ascii="方正小标宋简体" w:hAnsi="方正小标宋简体" w:eastAsia="方正小标宋简体" w:cs="方正小标宋简体"/>
          <w:b/>
          <w:sz w:val="44"/>
          <w:szCs w:val="44"/>
        </w:rPr>
        <w:t>内蒙古自治区鄂尔多斯市生产力促进中心</w:t>
      </w:r>
    </w:p>
    <w:p>
      <w:pPr>
        <w:spacing w:beforeLines="0" w:afterLines="0"/>
        <w:ind w:firstLine="601"/>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2016年度决算相关说明</w:t>
      </w:r>
    </w:p>
    <w:p>
      <w:pPr>
        <w:spacing w:beforeLines="0" w:afterLines="0" w:line="580" w:lineRule="exact"/>
        <w:ind w:firstLine="600"/>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br w:type="page"/>
      </w:r>
      <w:r>
        <w:rPr>
          <w:rFonts w:hint="eastAsia" w:ascii="仿宋_GB2312" w:hAnsi="仿宋_GB2312" w:eastAsia="仿宋_GB2312" w:cs="仿宋_GB2312"/>
          <w:b/>
          <w:sz w:val="32"/>
          <w:szCs w:val="32"/>
        </w:rPr>
        <w:t>第一部分 内蒙古自治区鄂尔多斯市生产力促进中心基本情况</w:t>
      </w:r>
    </w:p>
    <w:p>
      <w:pPr>
        <w:spacing w:beforeLines="0" w:afterLines="0" w:line="580" w:lineRule="exact"/>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w:t>
      </w:r>
    </w:p>
    <w:p>
      <w:pPr>
        <w:autoSpaceDE w:val="0"/>
        <w:autoSpaceDN w:val="0"/>
        <w:adjustRightInd w:val="0"/>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承担全市科技创新创业相关工作，承担重要科研资源和创新要素的引进、重组、建设工作；指导推动科技服务业发展；承担专利技术转让、无形资产评估工作；提供知识产权信息检索、知识产权培训、相关法律咨询服务；提供孵化场地、开发条件、资金筹措、人才培训、指导性管理等服务。</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二、机构设置及单位构成情况</w:t>
      </w:r>
    </w:p>
    <w:p>
      <w:pPr>
        <w:keepNext w:val="0"/>
        <w:keepLines w:val="0"/>
        <w:pageBreakBefore w:val="0"/>
        <w:numPr>
          <w:ilvl w:val="0"/>
          <w:numId w:val="0"/>
        </w:numPr>
        <w:kinsoku/>
        <w:overflowPunct/>
        <w:topLinePunct w:val="0"/>
        <w:autoSpaceDE/>
        <w:autoSpaceDN/>
        <w:bidi w:val="0"/>
        <w:adjustRightInd/>
        <w:snapToGrid/>
        <w:spacing w:beforeAutospacing="0" w:afterAutospacing="0" w:line="440" w:lineRule="exact"/>
        <w:ind w:right="0" w:rightChars="0" w:firstLine="960" w:firstLineChars="300"/>
        <w:jc w:val="left"/>
        <w:textAlignment w:val="auto"/>
        <w:outlineLvl w:val="9"/>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鄂尔多斯市生产力促进中心是鄂尔多斯市科学技术局下属的全额拨款事业单位。</w:t>
      </w:r>
    </w:p>
    <w:p>
      <w:pPr>
        <w:spacing w:beforeLines="0" w:afterLines="0" w:line="580" w:lineRule="exact"/>
        <w:ind w:firstLine="6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第二部分 内蒙古自治区鄂尔多斯市生产力促进中心2016年度部门决算情况说明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一、关于2016年度预算执行情况分析</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由于我单位是</w:t>
      </w:r>
      <w:r>
        <w:rPr>
          <w:rFonts w:hint="eastAsia" w:ascii="仿宋_GB2312" w:hAnsi="仿宋_GB2312" w:eastAsia="仿宋_GB2312" w:cs="仿宋_GB2312"/>
          <w:color w:val="auto"/>
          <w:sz w:val="32"/>
          <w:szCs w:val="32"/>
          <w:lang w:val="en-US" w:eastAsia="zh-CN"/>
        </w:rPr>
        <w:t>2016年新成立单位，没有上年预决算和年初预算数，所用经费均根据单位运行实际情况实报实销，故无法与上年进行比较。</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二、关于2016年度决算情况说明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（一）关于收支情况总体说明</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本部门2016年度收入总计228.03万元，支出总计228.03万元。与2015年度相比，收入增加228.03万元，增长</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0%；支出增加228.03万元，增长</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0%。主要原因：</w:t>
      </w:r>
      <w:r>
        <w:rPr>
          <w:rFonts w:hint="eastAsia" w:ascii="仿宋_GB2312" w:hAnsi="仿宋_GB2312" w:eastAsia="仿宋_GB2312" w:cs="仿宋_GB2312"/>
          <w:color w:val="auto"/>
          <w:sz w:val="32"/>
          <w:szCs w:val="32"/>
          <w:lang w:eastAsia="zh-CN"/>
        </w:rPr>
        <w:t>我单位是</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新成立单位，</w:t>
      </w:r>
      <w:r>
        <w:rPr>
          <w:rFonts w:hint="eastAsia" w:ascii="仿宋_GB2312" w:hAnsi="仿宋_GB2312" w:eastAsia="仿宋_GB2312" w:cs="仿宋_GB2312"/>
          <w:color w:val="auto"/>
          <w:sz w:val="32"/>
          <w:szCs w:val="32"/>
          <w:lang w:val="en-US" w:eastAsia="zh-CN"/>
        </w:rPr>
        <w:t>2015年没有预决算。</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（二）关于2016年度收入决算情况说明</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本部门2016年度收入合计128.03万元，其中：财政拨款收入108.03万元，占84.4%；；其他收入20万元，占15.6%。</w:t>
      </w:r>
      <w:r>
        <w:rPr>
          <w:rFonts w:hint="eastAsia" w:ascii="仿宋_GB2312" w:hAnsi="仿宋_GB2312" w:eastAsia="仿宋_GB2312" w:cs="仿宋_GB2312"/>
          <w:color w:val="auto"/>
          <w:sz w:val="32"/>
          <w:szCs w:val="32"/>
          <w:lang w:val="en-US" w:eastAsia="zh-CN"/>
        </w:rPr>
        <w:t xml:space="preserve"> </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（三）关于2016年度支出决算情况说明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本部门2016年度支出合计163.03万元，其中：基本支出63.03万元，占38.7%；项目支出100万元，占61.3%；</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（四）关于2016年度财政拨款收入支出决算总体情况说明</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本部门2016年度财政拨款收入总计208.03万元，支出总计208.03万元。与2015年度相比，收入增加208.03万元，增长0%；支出增加208.03万元，增长0%。主要原因：</w:t>
      </w:r>
      <w:r>
        <w:rPr>
          <w:rFonts w:hint="eastAsia" w:ascii="仿宋_GB2312" w:hAnsi="仿宋_GB2312" w:eastAsia="仿宋_GB2312" w:cs="仿宋_GB2312"/>
          <w:color w:val="auto"/>
          <w:sz w:val="32"/>
          <w:szCs w:val="32"/>
          <w:lang w:eastAsia="zh-CN"/>
        </w:rPr>
        <w:t>我单位是</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新成立单位，</w:t>
      </w:r>
      <w:r>
        <w:rPr>
          <w:rFonts w:hint="eastAsia" w:ascii="仿宋_GB2312" w:hAnsi="仿宋_GB2312" w:eastAsia="仿宋_GB2312" w:cs="仿宋_GB2312"/>
          <w:color w:val="auto"/>
          <w:sz w:val="32"/>
          <w:szCs w:val="32"/>
          <w:lang w:val="en-US" w:eastAsia="zh-CN"/>
        </w:rPr>
        <w:t>2015年没有预决算。</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（五）关于2016一般公共预算财政拨款支出决算情况说明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本部门2016年度一般公共预算财政拨款支出合计163.03万元，其中：基本支出63.03万元，占38.7%；项目支出100万元，占61.3%。</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（六）关于2016年度一般公共预算财政拨款基本支出决算情况说明</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本部门2016年度一般公共预算财政拨款基本支出63.02万元，其中：人员经费12.17万元，主要包括：</w:t>
      </w:r>
      <w:r>
        <w:rPr>
          <w:rFonts w:hint="eastAsia" w:ascii="仿宋_GB2312" w:hAnsi="仿宋_GB2312" w:eastAsia="仿宋_GB2312" w:cs="仿宋_GB2312"/>
          <w:color w:val="auto"/>
          <w:sz w:val="32"/>
          <w:szCs w:val="32"/>
          <w:lang w:eastAsia="zh-CN"/>
        </w:rPr>
        <w:t>人员基本工资，</w:t>
      </w:r>
      <w:bookmarkStart w:id="0" w:name="_GoBack"/>
      <w:bookmarkEnd w:id="0"/>
      <w:r>
        <w:rPr>
          <w:rFonts w:hint="eastAsia" w:ascii="仿宋_GB2312" w:hAnsi="仿宋_GB2312" w:eastAsia="仿宋_GB2312" w:cs="仿宋_GB2312"/>
          <w:color w:val="auto"/>
          <w:sz w:val="32"/>
          <w:szCs w:val="32"/>
        </w:rPr>
        <w:t>较上年</w:t>
      </w:r>
      <w:r>
        <w:rPr>
          <w:rFonts w:hint="eastAsia" w:ascii="仿宋_GB2312" w:hAnsi="仿宋_GB2312" w:eastAsia="仿宋_GB2312" w:cs="仿宋_GB2312"/>
          <w:color w:val="auto"/>
          <w:sz w:val="32"/>
          <w:szCs w:val="32"/>
        </w:rPr>
        <w:t>增加</w:t>
      </w:r>
      <w:r>
        <w:rPr>
          <w:rFonts w:hint="eastAsia" w:ascii="仿宋_GB2312" w:hAnsi="仿宋_GB2312" w:eastAsia="仿宋_GB2312" w:cs="仿宋_GB2312"/>
          <w:color w:val="auto"/>
          <w:sz w:val="32"/>
          <w:szCs w:val="32"/>
        </w:rPr>
        <w:t>12.17万元，主要原因是：</w:t>
      </w:r>
      <w:r>
        <w:rPr>
          <w:rFonts w:hint="eastAsia" w:ascii="仿宋_GB2312" w:hAnsi="仿宋_GB2312" w:eastAsia="仿宋_GB2312" w:cs="仿宋_GB2312"/>
          <w:color w:val="auto"/>
          <w:sz w:val="32"/>
          <w:szCs w:val="32"/>
          <w:lang w:eastAsia="zh-CN"/>
        </w:rPr>
        <w:t>我单位是</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新成立单位，</w:t>
      </w:r>
      <w:r>
        <w:rPr>
          <w:rFonts w:hint="eastAsia" w:ascii="仿宋_GB2312" w:hAnsi="仿宋_GB2312" w:eastAsia="仿宋_GB2312" w:cs="仿宋_GB2312"/>
          <w:color w:val="auto"/>
          <w:sz w:val="32"/>
          <w:szCs w:val="32"/>
          <w:lang w:val="en-US" w:eastAsia="zh-CN"/>
        </w:rPr>
        <w:t>2015年没有预决算。</w:t>
      </w:r>
      <w:r>
        <w:rPr>
          <w:rFonts w:hint="eastAsia" w:ascii="仿宋_GB2312" w:hAnsi="仿宋_GB2312" w:eastAsia="仿宋_GB2312" w:cs="仿宋_GB2312"/>
          <w:color w:val="auto"/>
          <w:sz w:val="32"/>
          <w:szCs w:val="32"/>
        </w:rPr>
        <w:t>公用经费50.85万元，主要包括：</w:t>
      </w:r>
      <w:r>
        <w:rPr>
          <w:rFonts w:hint="eastAsia" w:ascii="仿宋_GB2312" w:hAnsi="仿宋_GB2312" w:eastAsia="仿宋_GB2312" w:cs="仿宋_GB2312"/>
          <w:color w:val="auto"/>
          <w:sz w:val="32"/>
          <w:szCs w:val="32"/>
          <w:lang w:eastAsia="zh-CN"/>
        </w:rPr>
        <w:t>大楼运营经费，包括水电、物业、暖气费等</w:t>
      </w:r>
      <w:r>
        <w:rPr>
          <w:rFonts w:hint="eastAsia" w:ascii="仿宋_GB2312" w:hAnsi="仿宋_GB2312" w:eastAsia="仿宋_GB2312" w:cs="仿宋_GB2312"/>
          <w:color w:val="auto"/>
          <w:sz w:val="32"/>
          <w:szCs w:val="32"/>
        </w:rPr>
        <w:t>，较上年</w:t>
      </w:r>
      <w:r>
        <w:rPr>
          <w:rFonts w:hint="eastAsia" w:ascii="仿宋_GB2312" w:hAnsi="仿宋_GB2312" w:eastAsia="仿宋_GB2312" w:cs="仿宋_GB2312"/>
          <w:color w:val="auto"/>
          <w:sz w:val="32"/>
          <w:szCs w:val="32"/>
        </w:rPr>
        <w:t>增加</w:t>
      </w:r>
      <w:r>
        <w:rPr>
          <w:rFonts w:hint="eastAsia" w:ascii="仿宋_GB2312" w:hAnsi="仿宋_GB2312" w:eastAsia="仿宋_GB2312" w:cs="仿宋_GB2312"/>
          <w:color w:val="auto"/>
          <w:sz w:val="32"/>
          <w:szCs w:val="32"/>
        </w:rPr>
        <w:t>50.85万元，主要原因是：</w:t>
      </w:r>
      <w:r>
        <w:rPr>
          <w:rFonts w:hint="eastAsia" w:ascii="仿宋_GB2312" w:hAnsi="仿宋_GB2312" w:eastAsia="仿宋_GB2312" w:cs="仿宋_GB2312"/>
          <w:color w:val="auto"/>
          <w:sz w:val="32"/>
          <w:szCs w:val="32"/>
          <w:lang w:eastAsia="zh-CN"/>
        </w:rPr>
        <w:t>我单位是</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新成立单位，</w:t>
      </w:r>
      <w:r>
        <w:rPr>
          <w:rFonts w:hint="eastAsia" w:ascii="仿宋_GB2312" w:hAnsi="仿宋_GB2312" w:eastAsia="仿宋_GB2312" w:cs="仿宋_GB2312"/>
          <w:color w:val="auto"/>
          <w:sz w:val="32"/>
          <w:szCs w:val="32"/>
          <w:lang w:val="en-US" w:eastAsia="zh-CN"/>
        </w:rPr>
        <w:t>2015年没有预决算。</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（七）关于2016年度财政拨款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经费支出决算情况说明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经费财政拨款支出决算总体情况说明</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本部门2016年度财政拨款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预算为0万元，支出决算为0万元，完成预算的0%，其中：因公出国（境）费支出决算为0万元，完成预算的0%；公务用车购置及运行维护费支出决算为0万元，完成预算的0%；公务接待费支出决算为0万元，完成预算的0%。2016年度财政拨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经费支出决算与预算差异情况的原因：</w:t>
      </w:r>
      <w:r>
        <w:rPr>
          <w:rFonts w:hint="eastAsia" w:ascii="仿宋_GB2312" w:hAnsi="仿宋_GB2312" w:eastAsia="仿宋_GB2312" w:cs="仿宋_GB2312"/>
          <w:color w:val="auto"/>
          <w:sz w:val="32"/>
          <w:szCs w:val="32"/>
          <w:lang w:eastAsia="zh-CN"/>
        </w:rPr>
        <w:t>我单位是</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新成立单位，</w:t>
      </w:r>
      <w:r>
        <w:rPr>
          <w:rFonts w:hint="eastAsia" w:ascii="仿宋_GB2312" w:hAnsi="仿宋_GB2312" w:eastAsia="仿宋_GB2312" w:cs="仿宋_GB2312"/>
          <w:color w:val="auto"/>
          <w:sz w:val="32"/>
          <w:szCs w:val="32"/>
          <w:lang w:val="en-US" w:eastAsia="zh-CN"/>
        </w:rPr>
        <w:t>2015年没有预决算。</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经费财政拨款支出决算具体情况说明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本部门2016年度财政拨款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经费支出0万元，因公出国（境）费支出0万元，占0%；公务用车购置及运行维护费支出0万元，占0%；公务接待费支出0万元，占0%。具体情况如下：</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因公出国（境）费支出</w:t>
      </w:r>
      <w:r>
        <w:rPr>
          <w:rFonts w:hint="eastAsia" w:ascii="仿宋_GB2312" w:hAnsi="仿宋_GB2312" w:eastAsia="仿宋_GB2312" w:cs="仿宋_GB2312"/>
          <w:color w:val="auto"/>
          <w:sz w:val="32"/>
          <w:szCs w:val="32"/>
        </w:rPr>
        <w:t>0万元。全年因公出国（境）团组0个，累计0人次。</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公务用车购置及运行维护费支出</w:t>
      </w:r>
      <w:r>
        <w:rPr>
          <w:rFonts w:hint="eastAsia" w:ascii="仿宋_GB2312" w:hAnsi="仿宋_GB2312" w:eastAsia="仿宋_GB2312" w:cs="仿宋_GB2312"/>
          <w:color w:val="auto"/>
          <w:sz w:val="32"/>
          <w:szCs w:val="32"/>
        </w:rPr>
        <w:t>0万元。其中：公务用车购置支出0万元，支出，车均购置费0万元，公务用车运行维护费支出0万元，车均运维费0万元，财政拨款开支的公务用车保有量为0辆。</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公务接待费支出</w:t>
      </w:r>
      <w:r>
        <w:rPr>
          <w:rFonts w:hint="eastAsia" w:ascii="仿宋_GB2312" w:hAnsi="仿宋_GB2312" w:eastAsia="仿宋_GB2312" w:cs="仿宋_GB2312"/>
          <w:color w:val="auto"/>
          <w:sz w:val="32"/>
          <w:szCs w:val="32"/>
        </w:rPr>
        <w:t>0万元。其中：国内公务接待费0万元，接待0批次，共接待0人次。国（境）外接待费0万元，接待0批次，共接待0人次。三、其他重要事项的情况说明</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（一）机关运行经费支出情况</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本部门2016年度机关运行经费支出0万元</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（二）政府采购支出情况</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本部门2016年度财政性资金政府采购支出总额0万元，其中：政府采购货物支出0万元,政府采购工程支出0万元，政府采购服务支出0万元</w:t>
      </w:r>
      <w:r>
        <w:rPr>
          <w:rFonts w:hint="eastAsia" w:ascii="仿宋_GB2312" w:hAnsi="仿宋_GB2312" w:eastAsia="仿宋_GB2312" w:cs="仿宋_GB2312"/>
          <w:color w:val="auto"/>
          <w:sz w:val="32"/>
          <w:szCs w:val="32"/>
          <w:lang w:val="en-US" w:eastAsia="zh-CN"/>
        </w:rPr>
        <w:t>。</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（三）国有资产占用情况</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截至2016年12月31日，本部门共有车辆0辆，其中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部级领导干部用车0辆,一般公务用车0辆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一般执法执勤用车0辆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特种专业技术用车0辆，其他用车0辆。单位价值50万元以上通用设备0台（套），单位价值100万元以上专用设备0台（套）</w:t>
      </w:r>
      <w:r>
        <w:rPr>
          <w:rFonts w:hint="eastAsia" w:ascii="仿宋_GB2312" w:hAnsi="仿宋_GB2312" w:eastAsia="仿宋_GB2312" w:cs="仿宋_GB2312"/>
          <w:color w:val="auto"/>
          <w:sz w:val="32"/>
          <w:szCs w:val="32"/>
          <w:lang w:eastAsia="zh-CN"/>
        </w:rPr>
        <w:t>。</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（四）预算绩效管理工作开展情况</w:t>
      </w:r>
    </w:p>
    <w:p>
      <w:pPr>
        <w:spacing w:beforeLines="0" w:afterLines="0" w:line="580" w:lineRule="exact"/>
        <w:ind w:firstLine="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由于我单位是</w:t>
      </w:r>
      <w:r>
        <w:rPr>
          <w:rFonts w:hint="eastAsia" w:ascii="仿宋_GB2312" w:hAnsi="仿宋_GB2312" w:eastAsia="仿宋_GB2312" w:cs="仿宋_GB2312"/>
          <w:color w:val="auto"/>
          <w:sz w:val="32"/>
          <w:szCs w:val="32"/>
          <w:lang w:val="en-US" w:eastAsia="zh-CN"/>
        </w:rPr>
        <w:t>2016年新成立单位，没有上年预决算和年初预算数，所用经费均根据单位运行实际情况实报实销。但我单位严格遵守预决算的相关要求，专款专用。</w:t>
      </w:r>
    </w:p>
    <w:p>
      <w:pPr>
        <w:spacing w:beforeLines="0" w:afterLines="0" w:line="580" w:lineRule="exact"/>
        <w:ind w:firstLine="6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第三部分 名词解释</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（一）财政拨款收入：指本年度从本级财政部门取得的财政拨款，包括一般公共预算财政拨款和政府性基金预算财政拨款。</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（二）事业收入：指事业单位开展专业业务活动及其辅助活动取得的收入；事业单位收到的财政专户实际核拨的教育收费等资金在此反映。</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（三）经营收入：指事业单位在专业业务活动及其辅助活动之外开展非独立核算经营活动取得的收入。</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（四）其他收入：指单位取得的除</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财政拨款收入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经营收入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（五）用事业基金弥补收支差额：指事业单位在当年的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财政拨款收入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经营收入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等不足以安排当年支出的情况下，使用以前年度积累的事业基金（事业单位当年收支相抵后按国家规定提取、用于弥补以后年度收支差额的基金）弥补本年度收支缺口的资金。</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（六）年初结转和结余：指单位上年结转本年使用的基本支出结转、项目支出结转和结余、经营结余。不包括事业单位净资产项下的事业基金和专用基金。</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结余分配：指单位当年结余的分配情况。根据《关于事业单位提取专用基金比例问题的通知》（财教[2012]32号）规定，事业单位职工福利基金的提取比例，在单位年度非财政拨款结余的40%以内确定，国家另有规定的从其规定。</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（八）年末结转和结余：指单位结转下年的基本支出结转、项目支出结转和结余、经营结余。不包括事业单位净资产项下的事业基金和专用基金。</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（九）基本支出：指为保障机构正常运转、完成日常工作任务而发生的人员经费和公用经费。其中：人员经费指政府收支分类经济科目中的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工资福利支出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对个人和家庭的补助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；公用经费指政府收支分类经济科目中除</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工资福利支出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对个人和家庭的补助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外的其他支出。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（十）项目支出：指在基本支出之外为完成特定行政任务和事业发展目标所发生的支出。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（十一）经营支出：指事业单位在专业业务活动及其辅助活动之外开展非独立核算经营活动发生的支出。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三公</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三）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（十四）工资福利支出（支出经济分类科目类级）：反映单位开支的在职职工和编制外长期聘用人员的各类劳动报酬，以及为上述人员缴纳的各项社会保险费等。</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（十五）商品和服务支出（支出经济分类科目类级）：反映单位购买商品和服务的支出（不包括用于购置固定资产的支出、战略性和应急储备支出）。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（十六）对个人和家庭的补助（支出经济分类科目类级）：反映用于对个人和家庭的补助支出。</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p>
      <w:pPr>
        <w:spacing w:beforeLines="0" w:afterLines="0" w:line="580" w:lineRule="exact"/>
        <w:ind w:firstLine="600"/>
        <w:rPr>
          <w:rFonts w:hint="eastAsia" w:ascii="仿宋_GB2312" w:hAnsi="仿宋_GB2312" w:eastAsia="仿宋_GB2312" w:cs="仿宋_GB2312"/>
          <w:color w:val="auto"/>
          <w:sz w:val="32"/>
          <w:szCs w:val="32"/>
        </w:rPr>
      </w:pPr>
    </w:p>
    <w:p>
      <w:pPr>
        <w:spacing w:beforeLines="0" w:afterLines="0" w:line="580" w:lineRule="exact"/>
        <w:ind w:firstLine="6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第四部分 决算公开联系方式及信息反馈渠道。</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本单位决算公开信息反馈和联系方式：</w:t>
      </w:r>
    </w:p>
    <w:p>
      <w:pPr>
        <w:spacing w:beforeLines="0" w:afterLines="0" w:line="580" w:lineRule="exact"/>
        <w:ind w:firstLine="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联系人：张红超    联系电话：0477-8398858</w:t>
      </w:r>
    </w:p>
    <w:p>
      <w:pPr>
        <w:spacing w:beforeLines="0" w:afterLines="0"/>
        <w:rPr>
          <w:rFonts w:hint="eastAsia" w:ascii="仿宋_GB2312" w:hAnsi="仿宋_GB2312" w:eastAsia="仿宋_GB2312" w:cs="仿宋_GB2312"/>
          <w:color w:val="auto"/>
          <w:sz w:val="32"/>
          <w:szCs w:val="32"/>
        </w:rPr>
      </w:pPr>
    </w:p>
    <w:p>
      <w:pPr>
        <w:spacing w:beforeLines="0" w:afterLines="0"/>
        <w:jc w:val="left"/>
        <w:rPr>
          <w:rFonts w:hint="eastAsia" w:ascii="仿宋_GB2312" w:hAnsi="仿宋_GB2312" w:eastAsia="仿宋_GB2312" w:cs="仿宋_GB2312"/>
          <w:color w:val="auto"/>
          <w:kern w:val="0"/>
          <w:sz w:val="32"/>
          <w:szCs w:val="32"/>
          <w:lang w:val="zh-CN"/>
        </w:rPr>
      </w:pPr>
    </w:p>
    <w:p>
      <w:pPr>
        <w:rPr>
          <w:rFonts w:hint="eastAsia" w:ascii="仿宋_GB2312" w:hAnsi="仿宋_GB2312" w:eastAsia="仿宋_GB2312" w:cs="仿宋_GB2312"/>
          <w:sz w:val="32"/>
          <w:szCs w:val="32"/>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DF19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kern w:val="2"/>
      <w:sz w:val="21"/>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2017-09-15T01:59:00Z</dcterms:created>
  <dc:creator>Administrator</dc:creator>
  <cp:lastModifiedBy>Administrator</cp:lastModifiedBy>
  <dcterms:modified xsi:type="dcterms:W3CDTF">2017-09-15T02:45:15Z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