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600" w:lineRule="exact"/>
        <w:textAlignment w:val="baseline"/>
        <w:outlineLvl w:val="0"/>
        <w:rPr>
          <w:rFonts w:hint="eastAsia" w:ascii="仿宋" w:hAnsi="仿宋" w:eastAsia="仿宋" w:cs="方正仿宋_GBK"/>
          <w:sz w:val="32"/>
          <w:szCs w:val="32"/>
          <w:lang w:val="en-US" w:eastAsia="zh-CN"/>
        </w:rPr>
      </w:pPr>
      <w:r>
        <w:rPr>
          <w:rFonts w:hint="eastAsia" w:ascii="仿宋" w:hAnsi="仿宋" w:eastAsia="仿宋" w:cs="方正仿宋_GBK"/>
          <w:sz w:val="32"/>
          <w:szCs w:val="32"/>
          <w:lang w:eastAsia="zh-CN"/>
        </w:rPr>
        <w:t>附件</w:t>
      </w:r>
      <w:r>
        <w:rPr>
          <w:rFonts w:hint="eastAsia" w:ascii="仿宋" w:hAnsi="仿宋" w:eastAsia="仿宋" w:cs="方正仿宋_GBK"/>
          <w:sz w:val="32"/>
          <w:szCs w:val="32"/>
          <w:lang w:val="en-US" w:eastAsia="zh-CN"/>
        </w:rPr>
        <w:t>1</w:t>
      </w:r>
    </w:p>
    <w:p>
      <w:pPr>
        <w:widowControl/>
        <w:snapToGrid w:val="0"/>
        <w:spacing w:line="600" w:lineRule="exact"/>
        <w:textAlignment w:val="baseline"/>
        <w:outlineLvl w:val="0"/>
        <w:rPr>
          <w:rFonts w:hint="eastAsia" w:ascii="仿宋" w:hAnsi="仿宋" w:eastAsia="仿宋" w:cs="方正仿宋_GBK"/>
          <w:sz w:val="32"/>
          <w:szCs w:val="32"/>
          <w:lang w:val="en-US" w:eastAsia="zh-CN"/>
        </w:rPr>
      </w:pPr>
    </w:p>
    <w:p>
      <w:pPr>
        <w:widowControl/>
        <w:snapToGrid w:val="0"/>
        <w:spacing w:line="600" w:lineRule="exact"/>
        <w:textAlignment w:val="baseline"/>
        <w:outlineLvl w:val="0"/>
        <w:rPr>
          <w:rFonts w:hint="eastAsia" w:ascii="仿宋" w:hAnsi="仿宋" w:eastAsia="仿宋" w:cs="方正仿宋_GBK"/>
          <w:sz w:val="32"/>
          <w:szCs w:val="32"/>
          <w:lang w:val="en-US" w:eastAsia="zh-CN"/>
        </w:rPr>
      </w:pPr>
    </w:p>
    <w:p>
      <w:pPr>
        <w:pStyle w:val="8"/>
        <w:widowControl w:val="0"/>
        <w:shd w:val="clear" w:color="auto" w:fill="FFFFFF"/>
        <w:spacing w:before="0" w:beforeAutospacing="0" w:after="0" w:afterAutospacing="0" w:line="600" w:lineRule="exact"/>
        <w:jc w:val="center"/>
        <w:rPr>
          <w:rFonts w:ascii="方正小标宋简体" w:hAnsi="仿宋" w:eastAsia="方正小标宋简体"/>
          <w:color w:val="000000"/>
          <w:sz w:val="44"/>
          <w:szCs w:val="44"/>
        </w:rPr>
      </w:pPr>
      <w:r>
        <w:rPr>
          <w:rFonts w:hint="eastAsia" w:ascii="方正小标宋简体" w:hAnsi="仿宋" w:eastAsia="方正小标宋简体"/>
          <w:color w:val="000000"/>
          <w:sz w:val="44"/>
          <w:szCs w:val="44"/>
        </w:rPr>
        <w:t>鄂尔多斯市科技突围“揭榜挂帅”</w:t>
      </w:r>
    </w:p>
    <w:p>
      <w:pPr>
        <w:pStyle w:val="8"/>
        <w:widowControl w:val="0"/>
        <w:shd w:val="clear" w:color="auto" w:fill="FFFFFF"/>
        <w:spacing w:before="0" w:beforeAutospacing="0" w:after="0" w:afterAutospacing="0" w:line="600" w:lineRule="exact"/>
        <w:jc w:val="center"/>
        <w:rPr>
          <w:rFonts w:ascii="方正小标宋简体" w:hAnsi="仿宋" w:eastAsia="方正小标宋简体"/>
          <w:sz w:val="44"/>
          <w:szCs w:val="44"/>
        </w:rPr>
      </w:pPr>
      <w:r>
        <w:rPr>
          <w:rFonts w:hint="eastAsia" w:ascii="方正小标宋简体" w:hAnsi="仿宋" w:eastAsia="方正小标宋简体"/>
          <w:color w:val="000000"/>
          <w:sz w:val="44"/>
          <w:szCs w:val="44"/>
        </w:rPr>
        <w:t>重大项目榜单</w:t>
      </w:r>
    </w:p>
    <w:p>
      <w:pPr>
        <w:widowControl/>
        <w:snapToGrid w:val="0"/>
        <w:spacing w:line="600" w:lineRule="exact"/>
        <w:textAlignment w:val="baseline"/>
        <w:outlineLvl w:val="0"/>
        <w:rPr>
          <w:rFonts w:hint="default" w:ascii="仿宋" w:hAnsi="仿宋" w:eastAsia="仿宋" w:cs="方正仿宋_GBK"/>
          <w:sz w:val="32"/>
          <w:szCs w:val="32"/>
          <w:lang w:val="en-US" w:eastAsia="zh-CN"/>
        </w:rPr>
        <w:sectPr>
          <w:footerReference r:id="rId3" w:type="default"/>
          <w:pgSz w:w="11907" w:h="16839"/>
          <w:pgMar w:top="1440" w:right="1134" w:bottom="1440" w:left="1134" w:header="851" w:footer="680" w:gutter="0"/>
          <w:pgNumType w:fmt="numberInDash"/>
          <w:cols w:space="425" w:num="1"/>
          <w:docGrid w:type="lines" w:linePitch="312" w:charSpace="0"/>
        </w:sectPr>
      </w:pPr>
    </w:p>
    <w:p>
      <w:pPr>
        <w:adjustRightInd w:val="0"/>
        <w:snapToGrid w:val="0"/>
        <w:spacing w:line="600" w:lineRule="exact"/>
        <w:rPr>
          <w:rFonts w:ascii="楷体_GB2312" w:hAnsi="Times New Roman" w:eastAsia="楷体_GB2312" w:cs="Times New Roman"/>
          <w:sz w:val="32"/>
          <w:szCs w:val="32"/>
        </w:rPr>
      </w:pPr>
      <w:r>
        <w:rPr>
          <w:rFonts w:hint="eastAsia" w:ascii="楷体_GB2312" w:hAnsi="Times New Roman" w:eastAsia="楷体_GB2312" w:cs="Times New Roman"/>
          <w:sz w:val="32"/>
          <w:szCs w:val="32"/>
        </w:rPr>
        <w:t>“人工智能+”-1</w:t>
      </w:r>
    </w:p>
    <w:p>
      <w:pPr>
        <w:pStyle w:val="3"/>
        <w:widowControl w:val="0"/>
        <w:adjustRightInd w:val="0"/>
        <w:snapToGrid w:val="0"/>
        <w:spacing w:after="0" w:line="600" w:lineRule="exact"/>
        <w:ind w:left="12" w:hanging="12"/>
        <w:jc w:val="center"/>
        <w:outlineLvl w:val="0"/>
        <w:rPr>
          <w:rFonts w:ascii="方正小标宋简体" w:eastAsia="方正小标宋简体" w:cs="华文仿宋" w:hAnsiTheme="minorEastAsia"/>
          <w:spacing w:val="8"/>
          <w:sz w:val="44"/>
          <w:szCs w:val="44"/>
        </w:rPr>
      </w:pPr>
    </w:p>
    <w:p>
      <w:pPr>
        <w:pStyle w:val="3"/>
        <w:widowControl w:val="0"/>
        <w:adjustRightInd w:val="0"/>
        <w:snapToGrid w:val="0"/>
        <w:spacing w:after="0" w:line="600" w:lineRule="exact"/>
        <w:ind w:left="12" w:hanging="12"/>
        <w:jc w:val="center"/>
        <w:outlineLvl w:val="0"/>
        <w:rPr>
          <w:rFonts w:ascii="方正小标宋简体" w:eastAsia="方正小标宋简体" w:cs="华文仿宋" w:hAnsiTheme="minorEastAsia"/>
          <w:spacing w:val="8"/>
          <w:sz w:val="44"/>
          <w:szCs w:val="44"/>
        </w:rPr>
      </w:pPr>
      <w:r>
        <w:rPr>
          <w:rFonts w:hint="eastAsia" w:ascii="方正小标宋简体" w:eastAsia="方正小标宋简体" w:cs="华文仿宋" w:hAnsiTheme="minorEastAsia"/>
          <w:spacing w:val="8"/>
          <w:sz w:val="44"/>
          <w:szCs w:val="44"/>
        </w:rPr>
        <w:t>新能源自动驾驶重卡编队系统产业化</w:t>
      </w:r>
    </w:p>
    <w:p>
      <w:pPr>
        <w:pStyle w:val="3"/>
        <w:widowControl w:val="0"/>
        <w:adjustRightInd w:val="0"/>
        <w:snapToGrid w:val="0"/>
        <w:spacing w:after="0" w:line="600" w:lineRule="exact"/>
        <w:ind w:left="12" w:hanging="12"/>
        <w:jc w:val="center"/>
        <w:outlineLvl w:val="0"/>
        <w:rPr>
          <w:rFonts w:ascii="方正小标宋简体" w:eastAsia="方正小标宋简体" w:cs="华文仿宋" w:hAnsiTheme="minorEastAsia"/>
          <w:sz w:val="44"/>
          <w:szCs w:val="44"/>
        </w:rPr>
      </w:pPr>
      <w:r>
        <w:rPr>
          <w:rFonts w:hint="eastAsia" w:ascii="方正小标宋简体" w:eastAsia="方正小标宋简体" w:cs="华文仿宋" w:hAnsiTheme="minorEastAsia"/>
          <w:spacing w:val="8"/>
          <w:sz w:val="44"/>
          <w:szCs w:val="44"/>
        </w:rPr>
        <w:t>开发与示范运营</w:t>
      </w:r>
    </w:p>
    <w:p>
      <w:pPr>
        <w:pStyle w:val="3"/>
        <w:widowControl w:val="0"/>
        <w:adjustRightInd w:val="0"/>
        <w:snapToGrid w:val="0"/>
        <w:spacing w:after="0" w:line="600" w:lineRule="exact"/>
        <w:ind w:left="687"/>
        <w:jc w:val="both"/>
        <w:rPr>
          <w:rFonts w:ascii="华文仿宋" w:hAnsi="华文仿宋" w:eastAsia="华文仿宋" w:cs="华文仿宋"/>
          <w:spacing w:val="4"/>
          <w:sz w:val="32"/>
          <w:szCs w:val="32"/>
        </w:rPr>
      </w:pPr>
    </w:p>
    <w:p>
      <w:pPr>
        <w:pStyle w:val="3"/>
        <w:widowControl w:val="0"/>
        <w:adjustRightInd w:val="0"/>
        <w:snapToGrid w:val="0"/>
        <w:spacing w:after="0" w:line="600" w:lineRule="exact"/>
        <w:ind w:firstLine="658" w:firstLineChars="200"/>
        <w:jc w:val="both"/>
        <w:rPr>
          <w:rFonts w:ascii="仿宋_GB2312" w:hAnsi="华文仿宋" w:eastAsia="仿宋_GB2312" w:cs="华文仿宋"/>
          <w:b/>
          <w:spacing w:val="4"/>
          <w:sz w:val="32"/>
          <w:szCs w:val="32"/>
        </w:rPr>
      </w:pPr>
      <w:r>
        <w:rPr>
          <w:rFonts w:hint="eastAsia" w:ascii="仿宋_GB2312" w:hAnsi="华文仿宋" w:eastAsia="仿宋_GB2312" w:cs="华文仿宋"/>
          <w:b/>
          <w:spacing w:val="4"/>
          <w:sz w:val="32"/>
          <w:szCs w:val="32"/>
        </w:rPr>
        <w:t>1.研究内容</w:t>
      </w:r>
    </w:p>
    <w:p>
      <w:pPr>
        <w:pStyle w:val="3"/>
        <w:widowControl w:val="0"/>
        <w:adjustRightInd w:val="0"/>
        <w:snapToGrid w:val="0"/>
        <w:spacing w:after="0" w:line="600" w:lineRule="exact"/>
        <w:ind w:firstLine="660" w:firstLineChars="200"/>
        <w:jc w:val="both"/>
        <w:rPr>
          <w:rFonts w:ascii="仿宋_GB2312" w:hAnsi="华文仿宋" w:eastAsia="仿宋_GB2312" w:cs="华文仿宋"/>
          <w:b/>
          <w:sz w:val="32"/>
          <w:szCs w:val="32"/>
        </w:rPr>
      </w:pPr>
      <w:r>
        <w:rPr>
          <w:rFonts w:hint="eastAsia" w:ascii="仿宋_GB2312" w:hAnsi="华文仿宋" w:eastAsia="仿宋_GB2312" w:cs="华文仿宋"/>
          <w:spacing w:val="5"/>
          <w:sz w:val="32"/>
          <w:szCs w:val="32"/>
        </w:rPr>
        <w:t>开发</w:t>
      </w:r>
      <w:r>
        <w:rPr>
          <w:rFonts w:hint="eastAsia" w:ascii="仿宋_GB2312" w:hAnsi="华文仿宋" w:eastAsia="仿宋_GB2312" w:cs="华文仿宋"/>
          <w:sz w:val="32"/>
          <w:szCs w:val="32"/>
        </w:rPr>
        <w:t>新能源自动驾驶重卡编队系统，支撑车路云协同技术规模化落地。研究设计新能源“L2级领航车+L4级跟随车”混合编队系统架构，有效衔接车路云基础设施，开发高效、安全、可靠自动驾驶货运编队系统。研究交通环境全息感知与多源数据融合的理论方法，实现复杂场景下的交通目标精准识别、状态实时监测与行为特征快速提取</w:t>
      </w:r>
      <w:r>
        <w:rPr>
          <w:rFonts w:hint="eastAsia" w:ascii="仿宋_GB2312" w:hAnsi="华文仿宋" w:eastAsia="仿宋_GB2312" w:cs="华文仿宋"/>
          <w:spacing w:val="5"/>
          <w:sz w:val="32"/>
          <w:szCs w:val="32"/>
        </w:rPr>
        <w:t>。研发高安全、低控制时延的智能线控底盘平台及冗余控制系统，</w:t>
      </w:r>
      <w:r>
        <w:rPr>
          <w:rFonts w:hint="eastAsia" w:ascii="仿宋_GB2312" w:hAnsi="华文仿宋" w:eastAsia="仿宋_GB2312" w:cs="华文仿宋"/>
          <w:color w:val="000000" w:themeColor="text1"/>
          <w:spacing w:val="5"/>
          <w:sz w:val="32"/>
          <w:szCs w:val="32"/>
          <w14:textFill>
            <w14:solidFill>
              <w14:schemeClr w14:val="tx1"/>
            </w14:solidFill>
          </w14:textFill>
        </w:rPr>
        <w:t>突破线控底盘的安全与协同控制技术。</w:t>
      </w:r>
      <w:r>
        <w:rPr>
          <w:rFonts w:hint="eastAsia" w:ascii="仿宋_GB2312" w:hAnsi="华文仿宋" w:eastAsia="仿宋_GB2312" w:cs="华文仿宋"/>
          <w:spacing w:val="5"/>
          <w:sz w:val="32"/>
          <w:szCs w:val="32"/>
        </w:rPr>
        <w:t>研发基于云控系统的新能源车辆预测控制一体化节能巡航控制技术，开发节能巡航最优车速策略。基于高速公路、园区等场景，开展新能源自动驾驶重卡编队系统验证。</w:t>
      </w:r>
    </w:p>
    <w:p>
      <w:pPr>
        <w:pStyle w:val="3"/>
        <w:widowControl w:val="0"/>
        <w:adjustRightInd w:val="0"/>
        <w:snapToGrid w:val="0"/>
        <w:spacing w:after="0" w:line="600" w:lineRule="exact"/>
        <w:ind w:firstLine="662" w:firstLineChars="200"/>
        <w:jc w:val="both"/>
        <w:rPr>
          <w:rFonts w:ascii="仿宋_GB2312" w:hAnsi="华文仿宋" w:eastAsia="仿宋_GB2312" w:cs="华文仿宋"/>
          <w:b/>
          <w:sz w:val="32"/>
          <w:szCs w:val="32"/>
        </w:rPr>
      </w:pPr>
      <w:r>
        <w:rPr>
          <w:rFonts w:hint="eastAsia" w:ascii="仿宋_GB2312" w:hAnsi="华文仿宋" w:eastAsia="仿宋_GB2312" w:cs="华文仿宋"/>
          <w:b/>
          <w:spacing w:val="5"/>
          <w:sz w:val="32"/>
          <w:szCs w:val="32"/>
        </w:rPr>
        <w:t>2.考核指标</w:t>
      </w:r>
    </w:p>
    <w:p>
      <w:pPr>
        <w:pStyle w:val="3"/>
        <w:widowControl w:val="0"/>
        <w:adjustRightInd w:val="0"/>
        <w:snapToGrid w:val="0"/>
        <w:spacing w:after="0" w:line="600" w:lineRule="exact"/>
        <w:ind w:firstLine="588" w:firstLineChars="200"/>
        <w:jc w:val="both"/>
        <w:rPr>
          <w:rFonts w:ascii="仿宋_GB2312" w:hAnsi="华文仿宋" w:eastAsia="仿宋_GB2312" w:cs="华文仿宋"/>
          <w:sz w:val="32"/>
          <w:szCs w:val="32"/>
        </w:rPr>
      </w:pPr>
      <w:r>
        <w:rPr>
          <w:rFonts w:hint="eastAsia" w:ascii="仿宋_GB2312" w:hAnsi="华文仿宋" w:eastAsia="仿宋_GB2312" w:cs="华文仿宋"/>
          <w:spacing w:val="-13"/>
          <w:sz w:val="32"/>
          <w:szCs w:val="32"/>
        </w:rPr>
        <w:t>（1）研发新能源自动驾驶重卡编队系统1 套，涵盖环境感知、车路云通信、编队控制、硬件集成等模块，通过车路云一体化的方案，将超视距道路交通信息运用于自动驾驶车辆，跟随车能耗相比传统单车驾驶模式降低8%。</w:t>
      </w:r>
    </w:p>
    <w:p>
      <w:pPr>
        <w:pStyle w:val="3"/>
        <w:widowControl w:val="0"/>
        <w:adjustRightInd w:val="0"/>
        <w:snapToGrid w:val="0"/>
        <w:spacing w:after="0" w:line="600" w:lineRule="exact"/>
        <w:ind w:right="21" w:firstLine="588" w:firstLineChars="200"/>
        <w:jc w:val="both"/>
        <w:rPr>
          <w:rFonts w:ascii="仿宋_GB2312" w:hAnsi="华文仿宋" w:eastAsia="仿宋_GB2312" w:cs="华文仿宋"/>
          <w:spacing w:val="-13"/>
          <w:sz w:val="32"/>
          <w:szCs w:val="32"/>
        </w:rPr>
      </w:pPr>
      <w:r>
        <w:rPr>
          <w:rFonts w:hint="eastAsia" w:ascii="仿宋_GB2312" w:hAnsi="华文仿宋" w:eastAsia="仿宋_GB2312" w:cs="华文仿宋"/>
          <w:spacing w:val="-13"/>
          <w:sz w:val="32"/>
          <w:szCs w:val="32"/>
        </w:rPr>
        <w:t>（2）建立智慧交通多源感知模型与算法库，涵盖不少于4种典型交通场景，支持不少于3类交通参与者的全时空行为特征提取。开发线控底盘系统一套，在标准测试环境下的控制时延＜200ms，最高功能安全等级满足ISO26262 ASIL D等级要求。</w:t>
      </w:r>
    </w:p>
    <w:p>
      <w:pPr>
        <w:adjustRightInd w:val="0"/>
        <w:snapToGrid w:val="0"/>
        <w:spacing w:line="600" w:lineRule="exact"/>
        <w:ind w:firstLine="588" w:firstLineChars="200"/>
        <w:rPr>
          <w:rFonts w:ascii="仿宋_GB2312" w:hAnsi="华文仿宋" w:eastAsia="仿宋_GB2312" w:cs="华文仿宋"/>
          <w:spacing w:val="-13"/>
          <w:sz w:val="32"/>
          <w:szCs w:val="32"/>
        </w:rPr>
      </w:pPr>
      <w:r>
        <w:rPr>
          <w:rFonts w:hint="eastAsia" w:ascii="仿宋_GB2312" w:hAnsi="华文仿宋" w:eastAsia="仿宋_GB2312" w:cs="华文仿宋"/>
          <w:spacing w:val="-13"/>
          <w:sz w:val="32"/>
          <w:szCs w:val="32"/>
        </w:rPr>
        <w:t>（3）编制地方标准2项；申请发明专利5项。</w:t>
      </w:r>
    </w:p>
    <w:p>
      <w:pPr>
        <w:adjustRightInd w:val="0"/>
        <w:snapToGrid w:val="0"/>
        <w:spacing w:line="600" w:lineRule="exact"/>
        <w:ind w:firstLine="588" w:firstLineChars="200"/>
        <w:rPr>
          <w:rFonts w:ascii="仿宋_GB2312" w:hAnsi="华文仿宋" w:eastAsia="仿宋_GB2312" w:cs="华文仿宋"/>
          <w:spacing w:val="-13"/>
          <w:kern w:val="0"/>
          <w:sz w:val="32"/>
          <w:szCs w:val="32"/>
        </w:rPr>
      </w:pPr>
      <w:r>
        <w:rPr>
          <w:rFonts w:hint="eastAsia" w:ascii="仿宋_GB2312" w:hAnsi="华文仿宋" w:eastAsia="仿宋_GB2312" w:cs="华文仿宋"/>
          <w:spacing w:val="-13"/>
          <w:sz w:val="32"/>
          <w:szCs w:val="32"/>
        </w:rPr>
        <w:t>（4）在鄂尔多斯市车路云一体化试点线路上部署不少于10台编队重卡，编队模式推广至2个以上的城市，形成跨区域运输网络。至少3条涵盖高速公路、城市道路或园区的实际运输路线上进行全天候实践验证，验证里程数不低于2万公里。</w:t>
      </w:r>
    </w:p>
    <w:p>
      <w:pPr>
        <w:pStyle w:val="3"/>
        <w:widowControl w:val="0"/>
        <w:adjustRightInd w:val="0"/>
        <w:snapToGrid w:val="0"/>
        <w:spacing w:after="0" w:line="600" w:lineRule="exact"/>
        <w:ind w:left="692"/>
        <w:jc w:val="both"/>
        <w:rPr>
          <w:rFonts w:ascii="仿宋_GB2312" w:hAnsi="华文仿宋" w:eastAsia="仿宋_GB2312" w:cs="华文仿宋"/>
          <w:sz w:val="32"/>
          <w:szCs w:val="32"/>
        </w:rPr>
      </w:pPr>
      <w:r>
        <w:rPr>
          <w:rFonts w:hint="eastAsia" w:ascii="仿宋_GB2312" w:hAnsi="华文仿宋" w:eastAsia="仿宋_GB2312" w:cs="华文仿宋"/>
          <w:b/>
          <w:spacing w:val="-10"/>
          <w:sz w:val="32"/>
          <w:szCs w:val="32"/>
        </w:rPr>
        <w:t>3.实施周期：</w:t>
      </w:r>
      <w:r>
        <w:rPr>
          <w:rFonts w:hint="eastAsia" w:ascii="仿宋_GB2312" w:hAnsi="华文仿宋" w:eastAsia="仿宋_GB2312" w:cs="华文仿宋"/>
          <w:spacing w:val="-10"/>
          <w:sz w:val="32"/>
          <w:szCs w:val="32"/>
        </w:rPr>
        <w:t>3 年</w:t>
      </w:r>
    </w:p>
    <w:p>
      <w:pPr>
        <w:pStyle w:val="3"/>
        <w:widowControl w:val="0"/>
        <w:tabs>
          <w:tab w:val="left" w:pos="174"/>
        </w:tabs>
        <w:adjustRightInd w:val="0"/>
        <w:snapToGrid w:val="0"/>
        <w:spacing w:after="0" w:line="600" w:lineRule="exact"/>
        <w:ind w:left="14" w:right="320" w:firstLine="664"/>
        <w:jc w:val="both"/>
        <w:rPr>
          <w:rFonts w:ascii="仿宋_GB2312" w:hAnsi="仿宋" w:eastAsia="仿宋_GB2312" w:cs="仿宋"/>
          <w:sz w:val="32"/>
          <w:szCs w:val="32"/>
        </w:rPr>
      </w:pPr>
      <w:r>
        <w:rPr>
          <w:rFonts w:hint="eastAsia" w:ascii="仿宋_GB2312" w:hAnsi="华文仿宋" w:eastAsia="仿宋_GB2312" w:cs="华文仿宋"/>
          <w:spacing w:val="6"/>
          <w:sz w:val="32"/>
          <w:szCs w:val="32"/>
        </w:rPr>
        <w:t>4</w:t>
      </w:r>
      <w:r>
        <w:rPr>
          <w:rFonts w:hint="eastAsia" w:ascii="仿宋_GB2312" w:hAnsi="华文仿宋" w:eastAsia="仿宋_GB2312" w:cs="华文仿宋"/>
          <w:b/>
          <w:spacing w:val="6"/>
          <w:sz w:val="32"/>
          <w:szCs w:val="32"/>
        </w:rPr>
        <w:t>.拟支持资金额度：</w:t>
      </w:r>
      <w:r>
        <w:rPr>
          <w:rFonts w:hint="eastAsia" w:ascii="仿宋_GB2312" w:hAnsi="仿宋" w:eastAsia="仿宋_GB2312" w:cs="仿宋"/>
          <w:sz w:val="32"/>
          <w:szCs w:val="32"/>
        </w:rPr>
        <w:t>预计财政专项资金投入800万元，自筹不低于800万元。</w:t>
      </w:r>
    </w:p>
    <w:p>
      <w:pPr>
        <w:adjustRightInd w:val="0"/>
        <w:snapToGrid w:val="0"/>
        <w:spacing w:line="600" w:lineRule="exact"/>
        <w:rPr>
          <w:rFonts w:ascii="仿宋_GB2312" w:hAnsi="仿宋" w:eastAsia="仿宋_GB2312" w:cs="仿宋"/>
          <w:kern w:val="0"/>
          <w:sz w:val="32"/>
          <w:szCs w:val="32"/>
        </w:rPr>
      </w:pPr>
      <w:r>
        <w:rPr>
          <w:rFonts w:hint="eastAsia" w:ascii="仿宋_GB2312" w:hAnsi="仿宋" w:eastAsia="仿宋_GB2312" w:cs="仿宋"/>
          <w:kern w:val="0"/>
          <w:sz w:val="32"/>
          <w:szCs w:val="32"/>
        </w:rPr>
        <w:t xml:space="preserve">   </w:t>
      </w:r>
      <w:r>
        <w:rPr>
          <w:rFonts w:hint="eastAsia" w:ascii="仿宋_GB2312" w:hAnsi="仿宋" w:eastAsia="仿宋_GB2312" w:cs="仿宋"/>
          <w:b/>
          <w:kern w:val="0"/>
          <w:sz w:val="32"/>
          <w:szCs w:val="32"/>
        </w:rPr>
        <w:t xml:space="preserve"> 5.申报主体：</w:t>
      </w:r>
      <w:r>
        <w:rPr>
          <w:rFonts w:hint="eastAsia" w:ascii="仿宋_GB2312" w:hAnsi="仿宋" w:eastAsia="仿宋_GB2312" w:cs="仿宋"/>
          <w:sz w:val="32"/>
          <w:szCs w:val="32"/>
        </w:rPr>
        <w:t>由企业牵头申报。</w:t>
      </w:r>
    </w:p>
    <w:p>
      <w:pPr>
        <w:rPr>
          <w:rFonts w:ascii="方正小标宋简体" w:hAnsi="黑体" w:eastAsia="方正小标宋简体" w:cs="黑体"/>
          <w:sz w:val="44"/>
          <w:szCs w:val="44"/>
        </w:rPr>
      </w:pPr>
      <w:r>
        <w:rPr>
          <w:rFonts w:ascii="方正小标宋简体" w:hAnsi="黑体" w:eastAsia="方正小标宋简体" w:cs="黑体"/>
          <w:sz w:val="44"/>
          <w:szCs w:val="44"/>
        </w:rPr>
        <w:br w:type="page"/>
      </w:r>
    </w:p>
    <w:p>
      <w:pPr>
        <w:adjustRightInd w:val="0"/>
        <w:snapToGrid w:val="0"/>
        <w:spacing w:line="600" w:lineRule="exact"/>
        <w:rPr>
          <w:rFonts w:ascii="楷体_GB2312" w:hAnsi="Times New Roman" w:eastAsia="楷体_GB2312" w:cs="Times New Roman"/>
          <w:sz w:val="32"/>
          <w:szCs w:val="32"/>
        </w:rPr>
      </w:pPr>
      <w:r>
        <w:rPr>
          <w:rFonts w:hint="eastAsia" w:ascii="楷体_GB2312" w:hAnsi="Times New Roman" w:eastAsia="楷体_GB2312" w:cs="Times New Roman"/>
          <w:sz w:val="32"/>
          <w:szCs w:val="32"/>
        </w:rPr>
        <w:t>“人工智能+”-2</w:t>
      </w:r>
    </w:p>
    <w:p>
      <w:pPr>
        <w:adjustRightInd w:val="0"/>
        <w:snapToGrid w:val="0"/>
        <w:spacing w:line="600" w:lineRule="exact"/>
        <w:jc w:val="center"/>
        <w:rPr>
          <w:rFonts w:ascii="方正小标宋简体" w:hAnsi="黑体" w:eastAsia="方正小标宋简体"/>
          <w:bCs/>
          <w:sz w:val="44"/>
          <w:szCs w:val="44"/>
        </w:rPr>
      </w:pPr>
    </w:p>
    <w:p>
      <w:pPr>
        <w:adjustRightInd w:val="0"/>
        <w:snapToGrid w:val="0"/>
        <w:spacing w:line="600" w:lineRule="exact"/>
        <w:ind w:left="25" w:right="270"/>
        <w:jc w:val="center"/>
        <w:rPr>
          <w:rFonts w:ascii="方正小标宋简体" w:hAnsi="黑体" w:eastAsia="方正小标宋简体" w:cs="黑体"/>
          <w:sz w:val="44"/>
          <w:szCs w:val="44"/>
        </w:rPr>
      </w:pPr>
      <w:r>
        <w:rPr>
          <w:rFonts w:hint="eastAsia" w:ascii="方正小标宋简体" w:hAnsi="仿宋" w:eastAsia="方正小标宋简体" w:cs="仿宋"/>
          <w:bCs/>
          <w:spacing w:val="5"/>
          <w:sz w:val="44"/>
          <w:szCs w:val="44"/>
        </w:rPr>
        <w:t>基于人工智能的氯碱化工产业数字孪生自主运行关键技术与应用示范</w:t>
      </w:r>
    </w:p>
    <w:p>
      <w:pPr>
        <w:adjustRightInd w:val="0"/>
        <w:snapToGrid w:val="0"/>
        <w:spacing w:line="600" w:lineRule="exact"/>
        <w:ind w:left="687"/>
        <w:rPr>
          <w:rFonts w:ascii="楷体" w:hAnsi="楷体" w:eastAsia="楷体" w:cs="楷体"/>
          <w:spacing w:val="3"/>
          <w:sz w:val="32"/>
          <w:szCs w:val="32"/>
        </w:rPr>
      </w:pPr>
    </w:p>
    <w:p>
      <w:pPr>
        <w:adjustRightInd w:val="0"/>
        <w:snapToGrid w:val="0"/>
        <w:spacing w:line="600" w:lineRule="exact"/>
        <w:ind w:left="687"/>
        <w:rPr>
          <w:rFonts w:ascii="仿宋_GB2312" w:hAnsi="楷体" w:eastAsia="仿宋_GB2312" w:cs="楷体"/>
          <w:b/>
          <w:sz w:val="32"/>
          <w:szCs w:val="32"/>
        </w:rPr>
      </w:pPr>
      <w:r>
        <w:rPr>
          <w:rFonts w:hint="eastAsia" w:ascii="仿宋_GB2312" w:hAnsi="楷体" w:eastAsia="仿宋_GB2312" w:cs="楷体"/>
          <w:b/>
          <w:spacing w:val="3"/>
          <w:sz w:val="32"/>
          <w:szCs w:val="32"/>
        </w:rPr>
        <w:t>1.研究内容</w:t>
      </w:r>
    </w:p>
    <w:p>
      <w:pPr>
        <w:adjustRightInd w:val="0"/>
        <w:snapToGrid w:val="0"/>
        <w:spacing w:line="600" w:lineRule="exact"/>
        <w:ind w:firstLine="588" w:firstLineChars="200"/>
        <w:rPr>
          <w:rFonts w:ascii="仿宋_GB2312" w:hAnsi="华文仿宋" w:eastAsia="仿宋_GB2312" w:cs="华文仿宋"/>
          <w:spacing w:val="-13"/>
          <w:sz w:val="32"/>
          <w:szCs w:val="32"/>
        </w:rPr>
      </w:pPr>
      <w:r>
        <w:rPr>
          <w:rFonts w:hint="eastAsia" w:ascii="仿宋_GB2312" w:hAnsi="华文仿宋" w:eastAsia="仿宋_GB2312" w:cs="华文仿宋"/>
          <w:spacing w:val="-13"/>
          <w:sz w:val="32"/>
          <w:szCs w:val="32"/>
        </w:rPr>
        <w:t>研究氯碱-聚氯乙烯生产关键流程的多源异构数据的采集、治理与</w:t>
      </w:r>
      <w:bookmarkStart w:id="0" w:name="OLE_LINK2"/>
      <w:bookmarkStart w:id="1" w:name="OLE_LINK1"/>
      <w:r>
        <w:rPr>
          <w:rFonts w:hint="eastAsia" w:ascii="仿宋_GB2312" w:hAnsi="华文仿宋" w:eastAsia="仿宋_GB2312" w:cs="华文仿宋"/>
          <w:spacing w:val="-13"/>
          <w:sz w:val="32"/>
          <w:szCs w:val="32"/>
        </w:rPr>
        <w:t>数据湖技术通路</w:t>
      </w:r>
      <w:bookmarkEnd w:id="0"/>
      <w:bookmarkEnd w:id="1"/>
      <w:r>
        <w:rPr>
          <w:rFonts w:hint="eastAsia" w:ascii="仿宋_GB2312" w:hAnsi="华文仿宋" w:eastAsia="仿宋_GB2312" w:cs="华文仿宋"/>
          <w:spacing w:val="-13"/>
          <w:sz w:val="32"/>
          <w:szCs w:val="32"/>
        </w:rPr>
        <w:t>，基于C/V视觉、物联网技术，以及分布式控制系统、数据采集与监控系统，实现厂域统一的数据标准、数据采集、数据开放服务，形成共享数据资产。研究覆盖外轮廓（全厂级）、内部结构（车间级）、管线阀门（点位级）的氯碱化工数字孪生模型，实现厂域3D建模，集成生产流程业务数据，推动厂域核心业务可视、可管、可控。研究虚实同步与实时预测大模型技术，实现关键设备故障预测与动态调控、异常工况的快速推演。构建化工工艺优化大模型，开发生产全流程的智能优化与自主运行、人机协同决策系统，实现能耗与物耗的协同优化。推动基于“中心+边缘计算”架构的化工产业人工智能技术落地应用。</w:t>
      </w:r>
    </w:p>
    <w:p>
      <w:pPr>
        <w:adjustRightInd w:val="0"/>
        <w:snapToGrid w:val="0"/>
        <w:spacing w:line="600" w:lineRule="exact"/>
        <w:ind w:left="680"/>
        <w:rPr>
          <w:rFonts w:ascii="仿宋_GB2312" w:hAnsi="楷体" w:eastAsia="仿宋_GB2312" w:cs="楷体"/>
          <w:b/>
          <w:sz w:val="32"/>
          <w:szCs w:val="32"/>
        </w:rPr>
      </w:pPr>
      <w:r>
        <w:rPr>
          <w:rFonts w:hint="eastAsia" w:ascii="仿宋_GB2312" w:hAnsi="楷体" w:eastAsia="仿宋_GB2312" w:cs="楷体"/>
          <w:b/>
          <w:spacing w:val="4"/>
          <w:sz w:val="32"/>
          <w:szCs w:val="32"/>
        </w:rPr>
        <w:t>2.考核指标</w:t>
      </w:r>
    </w:p>
    <w:p>
      <w:pPr>
        <w:pStyle w:val="3"/>
        <w:widowControl w:val="0"/>
        <w:adjustRightInd w:val="0"/>
        <w:snapToGrid w:val="0"/>
        <w:spacing w:after="0" w:line="600" w:lineRule="exact"/>
        <w:ind w:left="34" w:right="21" w:firstLine="625"/>
        <w:jc w:val="both"/>
        <w:rPr>
          <w:rFonts w:ascii="仿宋_GB2312" w:eastAsia="仿宋_GB2312"/>
          <w:spacing w:val="-8"/>
          <w:sz w:val="32"/>
          <w:szCs w:val="32"/>
        </w:rPr>
      </w:pPr>
      <w:r>
        <w:rPr>
          <w:rFonts w:hint="eastAsia" w:ascii="仿宋_GB2312" w:eastAsia="仿宋_GB2312"/>
          <w:spacing w:val="-8"/>
          <w:sz w:val="32"/>
          <w:szCs w:val="32"/>
        </w:rPr>
        <w:t>（1）关键数据采集实时性≤1秒，关键数据采集率≥99%；数字孪生模型仿真误差≤5%（与实际生产数据对比）；故障预测准确率≥95%，故障响应时间≤5秒；电流效率优化提升≥0.5%，吨碱综合能耗降低≥0.5%；设备非计划停机时间减少≥35%。</w:t>
      </w:r>
    </w:p>
    <w:p>
      <w:pPr>
        <w:pStyle w:val="3"/>
        <w:widowControl w:val="0"/>
        <w:adjustRightInd w:val="0"/>
        <w:snapToGrid w:val="0"/>
        <w:spacing w:after="0" w:line="600" w:lineRule="exact"/>
        <w:ind w:left="34" w:right="21" w:firstLine="625"/>
        <w:jc w:val="both"/>
        <w:rPr>
          <w:rFonts w:ascii="仿宋_GB2312" w:eastAsia="仿宋_GB2312"/>
          <w:spacing w:val="-8"/>
          <w:sz w:val="32"/>
          <w:szCs w:val="32"/>
        </w:rPr>
      </w:pPr>
      <w:r>
        <w:rPr>
          <w:rFonts w:hint="eastAsia" w:ascii="仿宋_GB2312" w:eastAsia="仿宋_GB2312"/>
          <w:spacing w:val="-8"/>
          <w:sz w:val="32"/>
          <w:szCs w:val="32"/>
        </w:rPr>
        <w:t>（2）电解、乙炔、氯乙烯工段等5个以上关键工序自主运行时长占比≥80%；异常工况下系统自愈控制成功率≥90%。</w:t>
      </w:r>
    </w:p>
    <w:p>
      <w:pPr>
        <w:pStyle w:val="3"/>
        <w:widowControl w:val="0"/>
        <w:adjustRightInd w:val="0"/>
        <w:snapToGrid w:val="0"/>
        <w:spacing w:after="0" w:line="600" w:lineRule="exact"/>
        <w:ind w:left="34" w:right="21" w:firstLine="625"/>
        <w:jc w:val="both"/>
        <w:rPr>
          <w:rFonts w:ascii="仿宋_GB2312" w:eastAsia="仿宋_GB2312"/>
          <w:color w:val="FF0000"/>
          <w:spacing w:val="-8"/>
          <w:sz w:val="32"/>
          <w:szCs w:val="32"/>
        </w:rPr>
      </w:pPr>
      <w:r>
        <w:rPr>
          <w:rFonts w:hint="eastAsia" w:ascii="仿宋_GB2312" w:eastAsia="仿宋_GB2312"/>
          <w:spacing w:val="-8"/>
          <w:sz w:val="32"/>
          <w:szCs w:val="32"/>
        </w:rPr>
        <w:t>（3）数字孪生平台连续运行无故障时间≥720小时；</w:t>
      </w:r>
      <w:r>
        <w:rPr>
          <w:rFonts w:hint="eastAsia" w:ascii="仿宋_GB2312" w:eastAsia="仿宋_GB2312"/>
          <w:color w:val="000000" w:themeColor="text1"/>
          <w:spacing w:val="-8"/>
          <w:sz w:val="32"/>
          <w:szCs w:val="32"/>
          <w14:textFill>
            <w14:solidFill>
              <w14:schemeClr w14:val="tx1"/>
            </w14:solidFill>
          </w14:textFill>
        </w:rPr>
        <w:t>支持与主流工业协议（OPC UA、Modbus等）的无缝对接，</w:t>
      </w:r>
      <w:r>
        <w:rPr>
          <w:rFonts w:hint="eastAsia" w:ascii="仿宋_GB2312" w:eastAsia="仿宋_GB2312"/>
          <w:color w:val="000000" w:themeColor="text1"/>
          <w:sz w:val="32"/>
          <w:szCs w:val="32"/>
          <w14:textFill>
            <w14:solidFill>
              <w14:schemeClr w14:val="tx1"/>
            </w14:solidFill>
          </w14:textFill>
        </w:rPr>
        <w:t>数控系统CNC协议覆盖</w:t>
      </w:r>
      <w:r>
        <w:rPr>
          <w:rFonts w:hint="eastAsia" w:ascii="仿宋_GB2312" w:eastAsia="仿宋_GB2312"/>
          <w:spacing w:val="-8"/>
          <w:sz w:val="32"/>
          <w:szCs w:val="32"/>
        </w:rPr>
        <w:t>≥</w:t>
      </w:r>
      <w:r>
        <w:rPr>
          <w:rFonts w:hint="eastAsia" w:ascii="仿宋_GB2312" w:eastAsia="仿宋_GB2312"/>
          <w:color w:val="000000" w:themeColor="text1"/>
          <w:sz w:val="32"/>
          <w:szCs w:val="32"/>
          <w14:textFill>
            <w14:solidFill>
              <w14:schemeClr w14:val="tx1"/>
            </w14:solidFill>
          </w14:textFill>
        </w:rPr>
        <w:t>95%，可编程逻辑控制器PLC协议覆盖</w:t>
      </w:r>
      <w:r>
        <w:rPr>
          <w:rFonts w:hint="eastAsia" w:ascii="仿宋_GB2312" w:eastAsia="仿宋_GB2312"/>
          <w:spacing w:val="-8"/>
          <w:sz w:val="32"/>
          <w:szCs w:val="32"/>
        </w:rPr>
        <w:t>≥</w:t>
      </w:r>
      <w:r>
        <w:rPr>
          <w:rFonts w:hint="eastAsia" w:ascii="仿宋_GB2312" w:eastAsia="仿宋_GB2312"/>
          <w:color w:val="000000" w:themeColor="text1"/>
          <w:sz w:val="32"/>
          <w:szCs w:val="32"/>
          <w14:textFill>
            <w14:solidFill>
              <w14:schemeClr w14:val="tx1"/>
            </w14:solidFill>
          </w14:textFill>
        </w:rPr>
        <w:t>98%，RO协议覆盖</w:t>
      </w:r>
      <w:r>
        <w:rPr>
          <w:rFonts w:hint="eastAsia" w:ascii="仿宋_GB2312" w:eastAsia="仿宋_GB2312"/>
          <w:spacing w:val="-8"/>
          <w:sz w:val="32"/>
          <w:szCs w:val="32"/>
        </w:rPr>
        <w:t>≥</w:t>
      </w:r>
      <w:r>
        <w:rPr>
          <w:rFonts w:hint="eastAsia" w:ascii="仿宋_GB2312" w:eastAsia="仿宋_GB2312"/>
          <w:color w:val="000000" w:themeColor="text1"/>
          <w:sz w:val="32"/>
          <w:szCs w:val="32"/>
          <w14:textFill>
            <w14:solidFill>
              <w14:schemeClr w14:val="tx1"/>
            </w14:solidFill>
          </w14:textFill>
        </w:rPr>
        <w:t>80%。</w:t>
      </w:r>
    </w:p>
    <w:p>
      <w:pPr>
        <w:pStyle w:val="3"/>
        <w:widowControl w:val="0"/>
        <w:adjustRightInd w:val="0"/>
        <w:snapToGrid w:val="0"/>
        <w:spacing w:after="0" w:line="600" w:lineRule="exact"/>
        <w:ind w:left="34" w:right="21" w:firstLine="625"/>
        <w:jc w:val="both"/>
        <w:rPr>
          <w:rFonts w:ascii="仿宋_GB2312" w:eastAsia="仿宋_GB2312"/>
          <w:spacing w:val="-8"/>
          <w:sz w:val="32"/>
          <w:szCs w:val="32"/>
        </w:rPr>
      </w:pPr>
      <w:r>
        <w:rPr>
          <w:rFonts w:hint="eastAsia" w:ascii="仿宋_GB2312" w:eastAsia="仿宋_GB2312"/>
          <w:spacing w:val="-8"/>
          <w:sz w:val="32"/>
          <w:szCs w:val="32"/>
        </w:rPr>
        <w:t>（4）编制行业技术标准1项；申请发明专利5项。</w:t>
      </w:r>
    </w:p>
    <w:p>
      <w:pPr>
        <w:pStyle w:val="3"/>
        <w:widowControl w:val="0"/>
        <w:adjustRightInd w:val="0"/>
        <w:snapToGrid w:val="0"/>
        <w:spacing w:after="0" w:line="600" w:lineRule="exact"/>
        <w:ind w:left="34" w:right="21" w:firstLine="625"/>
        <w:jc w:val="both"/>
        <w:rPr>
          <w:rFonts w:ascii="仿宋_GB2312" w:eastAsia="仿宋_GB2312"/>
          <w:spacing w:val="-8"/>
          <w:sz w:val="32"/>
          <w:szCs w:val="32"/>
        </w:rPr>
      </w:pPr>
      <w:r>
        <w:rPr>
          <w:rFonts w:hint="eastAsia" w:ascii="仿宋_GB2312" w:eastAsia="仿宋_GB2312"/>
          <w:spacing w:val="-8"/>
          <w:sz w:val="32"/>
          <w:szCs w:val="32"/>
        </w:rPr>
        <w:t>（5）形成烧碱装置的数字孪生系统并应用示范。</w:t>
      </w:r>
    </w:p>
    <w:p>
      <w:pPr>
        <w:pStyle w:val="3"/>
        <w:widowControl w:val="0"/>
        <w:adjustRightInd w:val="0"/>
        <w:snapToGrid w:val="0"/>
        <w:spacing w:after="0" w:line="600" w:lineRule="exact"/>
        <w:ind w:left="34" w:right="21" w:firstLine="625"/>
        <w:jc w:val="both"/>
        <w:rPr>
          <w:rFonts w:ascii="仿宋_GB2312" w:eastAsia="仿宋_GB2312"/>
          <w:sz w:val="32"/>
          <w:szCs w:val="32"/>
        </w:rPr>
      </w:pPr>
      <w:r>
        <w:rPr>
          <w:rFonts w:hint="eastAsia" w:ascii="仿宋_GB2312" w:eastAsia="仿宋_GB2312"/>
          <w:b/>
          <w:spacing w:val="-8"/>
          <w:sz w:val="32"/>
          <w:szCs w:val="32"/>
        </w:rPr>
        <w:t>3.实施</w:t>
      </w:r>
      <w:r>
        <w:rPr>
          <w:rFonts w:hint="eastAsia" w:ascii="仿宋_GB2312" w:hAnsi="楷体" w:eastAsia="仿宋_GB2312" w:cs="楷体"/>
          <w:b/>
          <w:spacing w:val="-5"/>
          <w:sz w:val="32"/>
          <w:szCs w:val="32"/>
        </w:rPr>
        <w:t>周期：</w:t>
      </w:r>
      <w:r>
        <w:rPr>
          <w:rFonts w:hint="eastAsia" w:ascii="仿宋_GB2312" w:hAnsi="楷体" w:eastAsia="仿宋_GB2312" w:cs="楷体"/>
          <w:b/>
          <w:spacing w:val="-81"/>
          <w:sz w:val="32"/>
          <w:szCs w:val="32"/>
        </w:rPr>
        <w:t xml:space="preserve"> </w:t>
      </w:r>
      <w:r>
        <w:rPr>
          <w:rFonts w:hint="eastAsia" w:ascii="仿宋_GB2312" w:eastAsia="仿宋_GB2312"/>
          <w:spacing w:val="-5"/>
          <w:sz w:val="32"/>
          <w:szCs w:val="32"/>
        </w:rPr>
        <w:t>3</w:t>
      </w:r>
      <w:r>
        <w:rPr>
          <w:rFonts w:hint="eastAsia" w:ascii="仿宋_GB2312" w:eastAsia="仿宋_GB2312"/>
          <w:spacing w:val="-61"/>
          <w:sz w:val="32"/>
          <w:szCs w:val="32"/>
        </w:rPr>
        <w:t xml:space="preserve"> </w:t>
      </w:r>
      <w:r>
        <w:rPr>
          <w:rFonts w:hint="eastAsia" w:ascii="仿宋_GB2312" w:eastAsia="仿宋_GB2312"/>
          <w:spacing w:val="-5"/>
          <w:sz w:val="32"/>
          <w:szCs w:val="32"/>
        </w:rPr>
        <w:t>年</w:t>
      </w:r>
    </w:p>
    <w:p>
      <w:pPr>
        <w:adjustRightInd w:val="0"/>
        <w:snapToGrid w:val="0"/>
        <w:spacing w:line="600" w:lineRule="exact"/>
        <w:ind w:firstLine="674" w:firstLineChars="200"/>
        <w:rPr>
          <w:rFonts w:ascii="楷体_GB2312" w:hAnsi="Times New Roman" w:eastAsia="楷体_GB2312" w:cs="Times New Roman"/>
          <w:sz w:val="32"/>
          <w:szCs w:val="32"/>
        </w:rPr>
      </w:pPr>
      <w:r>
        <w:rPr>
          <w:rFonts w:hint="eastAsia" w:ascii="仿宋_GB2312" w:hAnsi="楷体" w:eastAsia="仿宋_GB2312" w:cs="楷体"/>
          <w:b/>
          <w:spacing w:val="8"/>
          <w:sz w:val="32"/>
          <w:szCs w:val="32"/>
        </w:rPr>
        <w:t>4.拟支持资金额度：</w:t>
      </w:r>
      <w:r>
        <w:rPr>
          <w:rFonts w:hint="eastAsia" w:ascii="仿宋_GB2312" w:hAnsi="仿宋" w:eastAsia="仿宋_GB2312" w:cs="仿宋"/>
          <w:sz w:val="32"/>
          <w:szCs w:val="32"/>
        </w:rPr>
        <w:t>预计财政专项资金投入600万元，自筹不低于600万元。</w:t>
      </w:r>
    </w:p>
    <w:p>
      <w:pPr>
        <w:adjustRightInd w:val="0"/>
        <w:snapToGrid w:val="0"/>
        <w:spacing w:line="600" w:lineRule="exact"/>
        <w:rPr>
          <w:rFonts w:ascii="楷体_GB2312" w:hAnsi="Times New Roman" w:eastAsia="楷体_GB2312" w:cs="Times New Roman"/>
          <w:sz w:val="32"/>
          <w:szCs w:val="32"/>
        </w:rPr>
      </w:pPr>
      <w:r>
        <w:rPr>
          <w:rFonts w:hint="eastAsia" w:ascii="楷体_GB2312" w:hAnsi="Times New Roman" w:eastAsia="楷体_GB2312" w:cs="Times New Roman"/>
          <w:sz w:val="32"/>
          <w:szCs w:val="32"/>
        </w:rPr>
        <w:t xml:space="preserve">   </w:t>
      </w:r>
      <w:r>
        <w:rPr>
          <w:rFonts w:hint="eastAsia" w:ascii="仿宋_GB2312" w:hAnsi="仿宋" w:eastAsia="仿宋_GB2312" w:cs="仿宋"/>
          <w:sz w:val="32"/>
          <w:szCs w:val="32"/>
        </w:rPr>
        <w:t xml:space="preserve"> </w:t>
      </w:r>
      <w:r>
        <w:rPr>
          <w:rFonts w:hint="eastAsia" w:ascii="仿宋_GB2312" w:hAnsi="仿宋" w:eastAsia="仿宋_GB2312" w:cs="仿宋"/>
          <w:b/>
          <w:sz w:val="32"/>
          <w:szCs w:val="32"/>
        </w:rPr>
        <w:t>5.申报主体：</w:t>
      </w:r>
      <w:r>
        <w:rPr>
          <w:rFonts w:hint="eastAsia" w:ascii="仿宋_GB2312" w:hAnsi="仿宋" w:eastAsia="仿宋_GB2312" w:cs="仿宋"/>
          <w:sz w:val="32"/>
          <w:szCs w:val="32"/>
        </w:rPr>
        <w:t>由企业牵头申报。</w:t>
      </w:r>
    </w:p>
    <w:p>
      <w:pPr>
        <w:adjustRightInd w:val="0"/>
        <w:snapToGrid w:val="0"/>
        <w:spacing w:line="600" w:lineRule="exact"/>
        <w:jc w:val="center"/>
        <w:rPr>
          <w:rFonts w:ascii="方正小标宋简体" w:hAnsi="黑体" w:eastAsia="方正小标宋简体"/>
          <w:bCs/>
          <w:sz w:val="44"/>
          <w:szCs w:val="44"/>
        </w:rPr>
      </w:pPr>
    </w:p>
    <w:p>
      <w:pPr>
        <w:adjustRightInd w:val="0"/>
        <w:snapToGrid w:val="0"/>
        <w:spacing w:line="600" w:lineRule="exact"/>
        <w:jc w:val="center"/>
        <w:rPr>
          <w:rFonts w:ascii="方正小标宋简体" w:hAnsi="黑体" w:eastAsia="方正小标宋简体"/>
          <w:bCs/>
          <w:sz w:val="44"/>
          <w:szCs w:val="44"/>
        </w:rPr>
      </w:pPr>
    </w:p>
    <w:p>
      <w:pPr>
        <w:rPr>
          <w:rFonts w:ascii="仿宋_GB2312" w:hAnsi="仿宋_GB2312" w:eastAsia="仿宋_GB2312" w:cs="仿宋_GB2312"/>
          <w:bCs/>
          <w:sz w:val="32"/>
          <w:szCs w:val="32"/>
        </w:rPr>
      </w:pPr>
      <w:r>
        <w:rPr>
          <w:rFonts w:ascii="仿宋_GB2312" w:hAnsi="仿宋_GB2312" w:eastAsia="仿宋_GB2312" w:cs="仿宋_GB2312"/>
          <w:bCs/>
          <w:sz w:val="32"/>
          <w:szCs w:val="32"/>
        </w:rPr>
        <w:br w:type="page"/>
      </w:r>
    </w:p>
    <w:p>
      <w:pPr>
        <w:adjustRightInd w:val="0"/>
        <w:snapToGrid w:val="0"/>
        <w:spacing w:line="600" w:lineRule="exact"/>
        <w:rPr>
          <w:rFonts w:ascii="楷体_GB2312" w:hAnsi="Times New Roman" w:eastAsia="楷体_GB2312" w:cs="Times New Roman"/>
          <w:sz w:val="32"/>
          <w:szCs w:val="32"/>
        </w:rPr>
      </w:pPr>
      <w:r>
        <w:rPr>
          <w:rFonts w:hint="eastAsia" w:ascii="楷体_GB2312" w:hAnsi="Times New Roman" w:eastAsia="楷体_GB2312" w:cs="Times New Roman"/>
          <w:sz w:val="32"/>
          <w:szCs w:val="32"/>
        </w:rPr>
        <w:t>“人工智能+”-3</w:t>
      </w:r>
    </w:p>
    <w:p>
      <w:pPr>
        <w:adjustRightInd w:val="0"/>
        <w:snapToGrid w:val="0"/>
        <w:spacing w:line="600" w:lineRule="exact"/>
        <w:jc w:val="center"/>
        <w:rPr>
          <w:rFonts w:ascii="方正小标宋简体" w:hAnsi="黑体" w:eastAsia="方正小标宋简体"/>
          <w:bCs/>
          <w:sz w:val="44"/>
          <w:szCs w:val="44"/>
        </w:rPr>
      </w:pPr>
    </w:p>
    <w:p>
      <w:pPr>
        <w:adjustRightInd w:val="0"/>
        <w:snapToGrid w:val="0"/>
        <w:spacing w:line="600" w:lineRule="exact"/>
        <w:jc w:val="center"/>
        <w:rPr>
          <w:rFonts w:ascii="方正小标宋简体" w:hAnsi="黑体" w:eastAsia="方正小标宋简体"/>
          <w:bCs/>
          <w:sz w:val="44"/>
          <w:szCs w:val="44"/>
        </w:rPr>
      </w:pPr>
      <w:r>
        <w:rPr>
          <w:rFonts w:hint="eastAsia" w:ascii="方正小标宋简体" w:hAnsi="黑体" w:eastAsia="方正小标宋简体"/>
          <w:bCs/>
          <w:sz w:val="44"/>
          <w:szCs w:val="44"/>
        </w:rPr>
        <w:t>面向机场智慧物流的具身智能集群机器人</w:t>
      </w:r>
    </w:p>
    <w:p>
      <w:pPr>
        <w:adjustRightInd w:val="0"/>
        <w:snapToGrid w:val="0"/>
        <w:spacing w:line="600" w:lineRule="exact"/>
        <w:jc w:val="center"/>
        <w:rPr>
          <w:rFonts w:ascii="方正小标宋简体" w:hAnsi="Times New Roman" w:eastAsia="方正小标宋简体"/>
          <w:b/>
          <w:bCs/>
          <w:sz w:val="40"/>
          <w:szCs w:val="40"/>
        </w:rPr>
      </w:pPr>
      <w:r>
        <w:rPr>
          <w:rFonts w:hint="eastAsia" w:ascii="方正小标宋简体" w:hAnsi="黑体" w:eastAsia="方正小标宋简体"/>
          <w:bCs/>
          <w:sz w:val="44"/>
          <w:szCs w:val="44"/>
        </w:rPr>
        <w:t>关键技术研究与应用示范</w:t>
      </w:r>
    </w:p>
    <w:p>
      <w:pPr>
        <w:adjustRightInd w:val="0"/>
        <w:snapToGrid w:val="0"/>
        <w:spacing w:line="600" w:lineRule="exact"/>
        <w:rPr>
          <w:rFonts w:ascii="Times New Roman" w:hAnsi="Times New Roman"/>
          <w:b/>
          <w:bCs/>
          <w:szCs w:val="32"/>
        </w:rPr>
      </w:pPr>
    </w:p>
    <w:p>
      <w:pPr>
        <w:adjustRightInd w:val="0"/>
        <w:snapToGrid w:val="0"/>
        <w:spacing w:line="600" w:lineRule="exact"/>
        <w:ind w:firstLine="643"/>
        <w:rPr>
          <w:rFonts w:ascii="仿宋_GB2312" w:hAnsi="Times New Roman" w:eastAsia="仿宋_GB2312"/>
          <w:b/>
          <w:bCs/>
          <w:sz w:val="32"/>
          <w:szCs w:val="32"/>
        </w:rPr>
      </w:pPr>
      <w:r>
        <w:rPr>
          <w:rFonts w:hint="eastAsia" w:ascii="仿宋_GB2312" w:hAnsi="Times New Roman" w:eastAsia="仿宋_GB2312"/>
          <w:b/>
          <w:bCs/>
          <w:sz w:val="32"/>
          <w:szCs w:val="32"/>
        </w:rPr>
        <w:t>1.研究内容</w:t>
      </w:r>
    </w:p>
    <w:p>
      <w:pPr>
        <w:adjustRightInd w:val="0"/>
        <w:snapToGrid w:val="0"/>
        <w:spacing w:line="600" w:lineRule="exact"/>
        <w:ind w:firstLine="640"/>
        <w:rPr>
          <w:rFonts w:ascii="仿宋_GB2312" w:eastAsia="仿宋_GB2312"/>
          <w:color w:val="000000" w:themeColor="text1"/>
          <w:kern w:val="0"/>
          <w:sz w:val="32"/>
          <w:szCs w:val="32"/>
          <w14:textFill>
            <w14:solidFill>
              <w14:schemeClr w14:val="tx1"/>
            </w14:solidFill>
          </w14:textFill>
        </w:rPr>
      </w:pPr>
      <w:r>
        <w:rPr>
          <w:rFonts w:hint="eastAsia" w:ascii="仿宋_GB2312" w:eastAsia="仿宋_GB2312"/>
          <w:color w:val="000000" w:themeColor="text1"/>
          <w:kern w:val="0"/>
          <w:sz w:val="32"/>
          <w:szCs w:val="32"/>
          <w14:textFill>
            <w14:solidFill>
              <w14:schemeClr w14:val="tx1"/>
            </w14:solidFill>
          </w14:textFill>
        </w:rPr>
        <w:t>针对机场货运及转运需求，创新融合具身智能机器人技术与人工智能技术以及智能驾驶技术，构建跨场景的“云端中心—智能终端—移动管控”三位一体协同平台。研发适应重载、高精度操作的货运机器人及移动式转运装备，突破开放式/封闭混合场景下集群机器人安全高效运动规划技术，实现复杂环境下的自主导航与路径优化。攻克多尺度、不规则货物高速高精识别抓取技术，开发基于力控传感的柔性抓取系统。研究货运、转运集群机器人网络化协同控制算法，解决多设备任务分配、冲突规避及动态调度难题。构建高保真数字孪生模型，研发基于数字孪生的跨场景调度系统，实现全流程作业的实时监控与智能优化。集成5G、物联网等技术，打造全流程货物可视化追踪体系，覆盖货物装卸、分拣、仓储、运输等环节。</w:t>
      </w:r>
    </w:p>
    <w:p>
      <w:pPr>
        <w:adjustRightInd w:val="0"/>
        <w:snapToGrid w:val="0"/>
        <w:spacing w:line="600" w:lineRule="exact"/>
        <w:ind w:firstLine="643"/>
        <w:rPr>
          <w:rFonts w:ascii="仿宋_GB2312" w:hAnsi="Times New Roman" w:eastAsia="仿宋_GB2312"/>
          <w:b/>
          <w:bCs/>
          <w:sz w:val="32"/>
          <w:szCs w:val="32"/>
        </w:rPr>
      </w:pPr>
      <w:r>
        <w:rPr>
          <w:rFonts w:hint="eastAsia" w:ascii="仿宋_GB2312" w:hAnsi="Times New Roman" w:eastAsia="仿宋_GB2312"/>
          <w:b/>
          <w:bCs/>
          <w:sz w:val="32"/>
          <w:szCs w:val="32"/>
        </w:rPr>
        <w:t>2.考核指标</w:t>
      </w:r>
    </w:p>
    <w:p>
      <w:pPr>
        <w:adjustRightInd w:val="0"/>
        <w:snapToGrid w:val="0"/>
        <w:spacing w:line="600" w:lineRule="exact"/>
        <w:ind w:firstLine="640"/>
        <w:rPr>
          <w:rFonts w:ascii="仿宋_GB2312" w:hAnsi="Times New Roman" w:eastAsia="仿宋_GB2312"/>
          <w:bCs/>
          <w:sz w:val="32"/>
          <w:szCs w:val="32"/>
        </w:rPr>
      </w:pPr>
      <w:r>
        <w:rPr>
          <w:rFonts w:hint="eastAsia" w:ascii="仿宋_GB2312" w:hAnsi="Times New Roman" w:eastAsia="仿宋_GB2312"/>
          <w:bCs/>
          <w:sz w:val="32"/>
          <w:szCs w:val="32"/>
        </w:rPr>
        <w:t>（1）具身智能货运机器人：</w:t>
      </w:r>
      <w:r>
        <w:rPr>
          <w:rFonts w:hint="eastAsia" w:ascii="仿宋_GB2312" w:hAnsi="Times New Roman" w:eastAsia="仿宋_GB2312"/>
          <w:sz w:val="32"/>
          <w:szCs w:val="32"/>
        </w:rPr>
        <w:t>具备自主行驶与导航能力，行驶速度≥10km/h，可在-20℃-40℃户外环境稳定运行，具备IP54防护等级；集成高精度定位与多模态传感器，动态环境下定位误差≤10cm，引导机器人到达目的地准确率≥99%；续航时间≥8小时，满足航空货运严苛作业要求；平台响应时间≤5秒，单台机器人单次作业能力≥2吨，单次作业覆盖面积≥500m</w:t>
      </w:r>
      <w:r>
        <w:rPr>
          <w:rFonts w:hint="eastAsia" w:ascii="宋体" w:hAnsi="宋体" w:eastAsia="宋体" w:cs="宋体"/>
          <w:sz w:val="32"/>
          <w:szCs w:val="32"/>
        </w:rPr>
        <w:t>²</w:t>
      </w:r>
      <w:r>
        <w:rPr>
          <w:rFonts w:hint="eastAsia" w:ascii="仿宋_GB2312" w:hAnsi="Times New Roman" w:eastAsia="仿宋_GB2312"/>
          <w:sz w:val="32"/>
          <w:szCs w:val="32"/>
        </w:rPr>
        <w:t>，减少人工干预率80%以上。</w:t>
      </w:r>
    </w:p>
    <w:p>
      <w:pPr>
        <w:adjustRightInd w:val="0"/>
        <w:snapToGrid w:val="0"/>
        <w:spacing w:line="600" w:lineRule="exact"/>
        <w:ind w:firstLine="640"/>
        <w:rPr>
          <w:rFonts w:ascii="仿宋_GB2312" w:hAnsi="Times New Roman" w:eastAsia="仿宋_GB2312"/>
          <w:sz w:val="32"/>
          <w:szCs w:val="32"/>
        </w:rPr>
      </w:pPr>
      <w:r>
        <w:rPr>
          <w:rFonts w:hint="eastAsia" w:ascii="仿宋_GB2312" w:hAnsi="Times New Roman" w:eastAsia="仿宋_GB2312"/>
          <w:bCs/>
          <w:sz w:val="32"/>
          <w:szCs w:val="32"/>
        </w:rPr>
        <w:t>（2）货物识别抓取转运机器人系统：</w:t>
      </w:r>
      <w:r>
        <w:rPr>
          <w:rFonts w:hint="eastAsia" w:ascii="仿宋_GB2312" w:hAnsi="Times New Roman" w:eastAsia="仿宋_GB2312"/>
          <w:sz w:val="32"/>
          <w:szCs w:val="32"/>
        </w:rPr>
        <w:t>在传送带速度适应范围内（0.2-1.5m/s），实现对</w:t>
      </w:r>
      <w:r>
        <w:rPr>
          <w:rFonts w:hint="eastAsia" w:ascii="仿宋_GB2312" w:hAnsi="Arial" w:eastAsia="仿宋_GB2312" w:cs="Arial"/>
          <w:color w:val="333333"/>
          <w:sz w:val="32"/>
          <w:szCs w:val="32"/>
        </w:rPr>
        <w:t>多尺度货物（</w:t>
      </w:r>
      <w:r>
        <w:rPr>
          <w:rFonts w:hint="eastAsia" w:ascii="仿宋_GB2312" w:hAnsi="Times New Roman" w:eastAsia="仿宋_GB2312"/>
          <w:sz w:val="32"/>
          <w:szCs w:val="32"/>
        </w:rPr>
        <w:t>≤0.24m</w:t>
      </w:r>
      <w:r>
        <w:rPr>
          <w:rFonts w:hint="eastAsia" w:ascii="宋体" w:hAnsi="宋体" w:eastAsia="宋体" w:cs="宋体"/>
          <w:sz w:val="32"/>
          <w:szCs w:val="32"/>
        </w:rPr>
        <w:t>³</w:t>
      </w:r>
      <w:r>
        <w:rPr>
          <w:rFonts w:hint="eastAsia" w:ascii="仿宋_GB2312" w:hAnsi="Arial" w:eastAsia="仿宋_GB2312" w:cs="Arial"/>
          <w:color w:val="333333"/>
          <w:sz w:val="32"/>
          <w:szCs w:val="32"/>
        </w:rPr>
        <w:t>，</w:t>
      </w:r>
      <w:r>
        <w:rPr>
          <w:rFonts w:hint="eastAsia" w:ascii="仿宋_GB2312" w:hAnsi="Times New Roman" w:eastAsia="仿宋_GB2312"/>
          <w:sz w:val="32"/>
          <w:szCs w:val="32"/>
        </w:rPr>
        <w:t>≤40x60x100cm</w:t>
      </w:r>
      <w:r>
        <w:rPr>
          <w:rFonts w:hint="eastAsia" w:ascii="仿宋_GB2312" w:hAnsi="Arial" w:eastAsia="仿宋_GB2312" w:cs="Arial"/>
          <w:color w:val="333333"/>
          <w:sz w:val="32"/>
          <w:szCs w:val="32"/>
        </w:rPr>
        <w:t>）动态追踪，</w:t>
      </w:r>
      <w:r>
        <w:rPr>
          <w:rFonts w:hint="eastAsia" w:ascii="仿宋_GB2312" w:hAnsi="Times New Roman" w:eastAsia="仿宋_GB2312"/>
          <w:sz w:val="32"/>
          <w:szCs w:val="32"/>
        </w:rPr>
        <w:t>货物识别抓取成功率≥98%；平均完成定位抓取时间≤2秒；覆盖常见货物种类≥95%。</w:t>
      </w:r>
    </w:p>
    <w:p>
      <w:pPr>
        <w:adjustRightInd w:val="0"/>
        <w:snapToGrid w:val="0"/>
        <w:spacing w:line="600" w:lineRule="exact"/>
        <w:ind w:firstLine="640"/>
        <w:rPr>
          <w:rFonts w:ascii="仿宋_GB2312" w:hAnsi="Times New Roman" w:eastAsia="仿宋_GB2312"/>
          <w:sz w:val="32"/>
          <w:szCs w:val="32"/>
        </w:rPr>
      </w:pPr>
      <w:r>
        <w:rPr>
          <w:rFonts w:hint="eastAsia" w:ascii="仿宋_GB2312" w:hAnsi="Times New Roman" w:eastAsia="仿宋_GB2312"/>
          <w:bCs/>
          <w:sz w:val="32"/>
          <w:szCs w:val="32"/>
        </w:rPr>
        <w:t>（3）转运货运数字孪生调度系统：</w:t>
      </w:r>
      <w:r>
        <w:rPr>
          <w:rFonts w:hint="eastAsia" w:ascii="仿宋_GB2312" w:hAnsi="Times New Roman" w:eastAsia="仿宋_GB2312"/>
          <w:sz w:val="32"/>
          <w:szCs w:val="32"/>
        </w:rPr>
        <w:t>状态追踪准确率≥98%；支持≥50台机器人协同调度，突发任务插入后全局重新规划时间≤30秒，资源冲突解决率≥99%；通过作业流程精准诊断与预测性维护，减少设备故障停机时间20%以上。</w:t>
      </w:r>
    </w:p>
    <w:p>
      <w:pPr>
        <w:adjustRightInd w:val="0"/>
        <w:snapToGrid w:val="0"/>
        <w:spacing w:line="600" w:lineRule="exact"/>
        <w:ind w:firstLine="640"/>
        <w:rPr>
          <w:rFonts w:ascii="仿宋_GB2312" w:hAnsi="Times New Roman" w:eastAsia="仿宋_GB2312"/>
          <w:sz w:val="32"/>
          <w:szCs w:val="32"/>
        </w:rPr>
      </w:pPr>
      <w:r>
        <w:rPr>
          <w:rFonts w:hint="eastAsia" w:ascii="仿宋_GB2312" w:hAnsi="Times New Roman" w:eastAsia="仿宋_GB2312"/>
          <w:sz w:val="32"/>
          <w:szCs w:val="32"/>
        </w:rPr>
        <w:t>（4）建设多功能一体化机场智慧物流示范基地。</w:t>
      </w:r>
    </w:p>
    <w:p>
      <w:pPr>
        <w:adjustRightInd w:val="0"/>
        <w:snapToGrid w:val="0"/>
        <w:spacing w:line="600" w:lineRule="exact"/>
        <w:ind w:firstLine="643"/>
        <w:rPr>
          <w:rFonts w:ascii="仿宋_GB2312" w:hAnsi="Times New Roman" w:eastAsia="仿宋_GB2312"/>
          <w:sz w:val="32"/>
          <w:szCs w:val="32"/>
        </w:rPr>
      </w:pPr>
      <w:r>
        <w:rPr>
          <w:rFonts w:hint="eastAsia" w:ascii="仿宋_GB2312" w:hAnsi="Times New Roman" w:eastAsia="仿宋_GB2312"/>
          <w:b/>
          <w:sz w:val="32"/>
          <w:szCs w:val="32"/>
        </w:rPr>
        <w:t>3.实施周期：</w:t>
      </w:r>
      <w:r>
        <w:rPr>
          <w:rFonts w:hint="eastAsia" w:ascii="仿宋_GB2312" w:hAnsi="Times New Roman" w:eastAsia="仿宋_GB2312"/>
          <w:sz w:val="32"/>
          <w:szCs w:val="32"/>
        </w:rPr>
        <w:t>3年</w:t>
      </w:r>
    </w:p>
    <w:p>
      <w:pPr>
        <w:adjustRightInd w:val="0"/>
        <w:snapToGrid w:val="0"/>
        <w:spacing w:line="600" w:lineRule="exact"/>
        <w:ind w:firstLine="642" w:firstLineChars="200"/>
        <w:rPr>
          <w:rFonts w:ascii="仿宋_GB2312" w:hAnsi="仿宋_GB2312" w:eastAsia="仿宋_GB2312" w:cs="仿宋_GB2312"/>
          <w:bCs/>
          <w:sz w:val="32"/>
          <w:szCs w:val="32"/>
        </w:rPr>
      </w:pPr>
      <w:r>
        <w:rPr>
          <w:rFonts w:hint="eastAsia" w:ascii="仿宋_GB2312" w:hAnsi="Times New Roman" w:eastAsia="仿宋_GB2312"/>
          <w:b/>
          <w:sz w:val="32"/>
          <w:szCs w:val="32"/>
        </w:rPr>
        <w:t>4.拟支持资金额度：</w:t>
      </w:r>
      <w:r>
        <w:rPr>
          <w:rFonts w:hint="eastAsia" w:ascii="仿宋_GB2312" w:hAnsi="仿宋" w:eastAsia="仿宋_GB2312" w:cs="仿宋"/>
          <w:sz w:val="32"/>
          <w:szCs w:val="32"/>
        </w:rPr>
        <w:t>预计财政专项资金投入800万元，自筹不低于800万元。</w:t>
      </w:r>
    </w:p>
    <w:p>
      <w:pPr>
        <w:adjustRightInd w:val="0"/>
        <w:snapToGrid w:val="0"/>
        <w:spacing w:line="600" w:lineRule="exact"/>
        <w:ind w:firstLine="642" w:firstLineChars="200"/>
        <w:rPr>
          <w:rFonts w:ascii="仿宋_GB2312" w:hAnsi="仿宋_GB2312" w:eastAsia="仿宋_GB2312" w:cs="仿宋_GB2312"/>
          <w:bCs/>
          <w:sz w:val="32"/>
          <w:szCs w:val="32"/>
        </w:rPr>
      </w:pPr>
      <w:r>
        <w:rPr>
          <w:rFonts w:hint="eastAsia" w:ascii="仿宋_GB2312" w:hAnsi="仿宋" w:eastAsia="仿宋_GB2312" w:cs="仿宋"/>
          <w:b/>
          <w:sz w:val="32"/>
          <w:szCs w:val="32"/>
        </w:rPr>
        <w:t>5.申报主体：</w:t>
      </w:r>
      <w:r>
        <w:rPr>
          <w:rFonts w:hint="eastAsia" w:ascii="仿宋_GB2312" w:hAnsi="仿宋" w:eastAsia="仿宋_GB2312" w:cs="仿宋"/>
          <w:sz w:val="32"/>
          <w:szCs w:val="32"/>
        </w:rPr>
        <w:t>由企业牵头申报。</w:t>
      </w:r>
    </w:p>
    <w:p>
      <w:pPr>
        <w:adjustRightInd w:val="0"/>
        <w:snapToGrid w:val="0"/>
        <w:spacing w:line="600" w:lineRule="exact"/>
        <w:rPr>
          <w:rFonts w:ascii="仿宋_GB2312" w:hAnsi="仿宋_GB2312" w:eastAsia="仿宋_GB2312" w:cs="仿宋_GB2312"/>
          <w:bCs/>
          <w:sz w:val="32"/>
          <w:szCs w:val="32"/>
        </w:rPr>
      </w:pPr>
    </w:p>
    <w:p>
      <w:pPr>
        <w:adjustRightInd w:val="0"/>
        <w:snapToGrid w:val="0"/>
        <w:spacing w:line="600" w:lineRule="exact"/>
        <w:rPr>
          <w:rFonts w:ascii="楷体_GB2312" w:hAnsi="Times New Roman" w:eastAsia="楷体_GB2312" w:cs="Times New Roman"/>
          <w:sz w:val="32"/>
          <w:szCs w:val="32"/>
        </w:rPr>
      </w:pPr>
    </w:p>
    <w:p>
      <w:pPr>
        <w:adjustRightInd w:val="0"/>
        <w:snapToGrid w:val="0"/>
        <w:spacing w:line="600" w:lineRule="exact"/>
        <w:rPr>
          <w:rFonts w:ascii="楷体_GB2312" w:hAnsi="Times New Roman" w:eastAsia="楷体_GB2312" w:cs="Times New Roman"/>
          <w:sz w:val="32"/>
          <w:szCs w:val="32"/>
        </w:rPr>
      </w:pPr>
    </w:p>
    <w:p>
      <w:pPr>
        <w:rPr>
          <w:rFonts w:ascii="楷体_GB2312" w:hAnsi="Times New Roman" w:eastAsia="楷体_GB2312" w:cs="Times New Roman"/>
          <w:sz w:val="32"/>
          <w:szCs w:val="32"/>
        </w:rPr>
      </w:pPr>
      <w:r>
        <w:rPr>
          <w:rFonts w:hint="eastAsia" w:ascii="楷体_GB2312" w:hAnsi="Times New Roman" w:eastAsia="楷体_GB2312" w:cs="Times New Roman"/>
          <w:sz w:val="32"/>
          <w:szCs w:val="32"/>
        </w:rPr>
        <w:br w:type="page"/>
      </w:r>
    </w:p>
    <w:p>
      <w:pPr>
        <w:adjustRightInd w:val="0"/>
        <w:snapToGrid w:val="0"/>
        <w:spacing w:line="600" w:lineRule="exact"/>
        <w:rPr>
          <w:rFonts w:ascii="楷体_GB2312" w:hAnsi="Times New Roman" w:eastAsia="楷体_GB2312" w:cs="Times New Roman"/>
          <w:sz w:val="32"/>
          <w:szCs w:val="32"/>
        </w:rPr>
      </w:pPr>
      <w:r>
        <w:rPr>
          <w:rFonts w:hint="eastAsia" w:ascii="楷体_GB2312" w:hAnsi="Times New Roman" w:eastAsia="楷体_GB2312" w:cs="Times New Roman"/>
          <w:sz w:val="32"/>
          <w:szCs w:val="32"/>
        </w:rPr>
        <w:t>“人工智能+”-4</w:t>
      </w:r>
    </w:p>
    <w:p>
      <w:pPr>
        <w:pStyle w:val="3"/>
        <w:widowControl w:val="0"/>
        <w:adjustRightInd w:val="0"/>
        <w:snapToGrid w:val="0"/>
        <w:spacing w:after="0" w:line="600" w:lineRule="exact"/>
        <w:ind w:left="12" w:hanging="12"/>
        <w:jc w:val="center"/>
        <w:outlineLvl w:val="0"/>
        <w:rPr>
          <w:rFonts w:ascii="方正小标宋简体" w:eastAsia="方正小标宋简体" w:cs="华文仿宋" w:hAnsiTheme="minorEastAsia"/>
          <w:spacing w:val="8"/>
          <w:sz w:val="44"/>
          <w:szCs w:val="44"/>
        </w:rPr>
      </w:pPr>
    </w:p>
    <w:p>
      <w:pPr>
        <w:adjustRightInd w:val="0"/>
        <w:snapToGrid w:val="0"/>
        <w:spacing w:line="600" w:lineRule="exact"/>
        <w:jc w:val="center"/>
        <w:rPr>
          <w:rFonts w:ascii="方正小标宋简体" w:hAnsi="黑体" w:eastAsia="方正小标宋简体" w:cs="黑体"/>
          <w:sz w:val="44"/>
          <w:szCs w:val="44"/>
        </w:rPr>
      </w:pPr>
      <w:r>
        <w:rPr>
          <w:rFonts w:hint="eastAsia" w:ascii="方正小标宋简体" w:hAnsi="黑体" w:eastAsia="方正小标宋简体" w:cs="黑体"/>
          <w:sz w:val="44"/>
          <w:szCs w:val="44"/>
        </w:rPr>
        <w:t>大模型驱动的农业AI大脑关键技术</w:t>
      </w:r>
    </w:p>
    <w:p>
      <w:pPr>
        <w:adjustRightInd w:val="0"/>
        <w:snapToGrid w:val="0"/>
        <w:spacing w:line="600" w:lineRule="exact"/>
        <w:jc w:val="center"/>
        <w:rPr>
          <w:rFonts w:ascii="方正小标宋简体" w:hAnsi="黑体" w:eastAsia="方正小标宋简体" w:cs="黑体"/>
          <w:sz w:val="44"/>
          <w:szCs w:val="44"/>
        </w:rPr>
      </w:pPr>
      <w:r>
        <w:rPr>
          <w:rFonts w:hint="eastAsia" w:ascii="方正小标宋简体" w:hAnsi="黑体" w:eastAsia="方正小标宋简体" w:cs="黑体"/>
          <w:sz w:val="44"/>
          <w:szCs w:val="44"/>
        </w:rPr>
        <w:t>研发与示范应用</w:t>
      </w:r>
    </w:p>
    <w:p>
      <w:pPr>
        <w:tabs>
          <w:tab w:val="left" w:pos="312"/>
          <w:tab w:val="left" w:pos="732"/>
        </w:tabs>
        <w:adjustRightInd w:val="0"/>
        <w:snapToGrid w:val="0"/>
        <w:spacing w:line="600" w:lineRule="exact"/>
        <w:rPr>
          <w:rFonts w:ascii="仿宋" w:hAnsi="仿宋" w:eastAsia="仿宋" w:cs="仿宋"/>
          <w:b/>
          <w:bCs/>
          <w:sz w:val="32"/>
          <w:szCs w:val="32"/>
        </w:rPr>
      </w:pPr>
    </w:p>
    <w:p>
      <w:pPr>
        <w:tabs>
          <w:tab w:val="left" w:pos="312"/>
          <w:tab w:val="left" w:pos="732"/>
        </w:tabs>
        <w:adjustRightInd w:val="0"/>
        <w:snapToGrid w:val="0"/>
        <w:spacing w:line="600" w:lineRule="exact"/>
        <w:ind w:firstLine="642" w:firstLineChars="200"/>
        <w:rPr>
          <w:rFonts w:ascii="仿宋_GB2312" w:hAnsi="仿宋" w:eastAsia="仿宋_GB2312" w:cs="仿宋"/>
          <w:b/>
          <w:bCs/>
          <w:sz w:val="32"/>
          <w:szCs w:val="32"/>
        </w:rPr>
      </w:pPr>
      <w:r>
        <w:rPr>
          <w:rFonts w:hint="eastAsia" w:ascii="仿宋_GB2312" w:hAnsi="仿宋" w:eastAsia="仿宋_GB2312" w:cs="仿宋"/>
          <w:b/>
          <w:bCs/>
          <w:sz w:val="32"/>
          <w:szCs w:val="32"/>
        </w:rPr>
        <w:t>1.研究内容</w:t>
      </w:r>
    </w:p>
    <w:p>
      <w:pPr>
        <w:adjustRightInd w:val="0"/>
        <w:snapToGrid w:val="0"/>
        <w:spacing w:line="600" w:lineRule="exact"/>
        <w:ind w:firstLine="640"/>
        <w:rPr>
          <w:rFonts w:ascii="仿宋_GB2312" w:hAnsi="Times New Roman" w:eastAsia="仿宋_GB2312"/>
          <w:bCs/>
          <w:sz w:val="32"/>
          <w:szCs w:val="32"/>
        </w:rPr>
      </w:pPr>
      <w:r>
        <w:rPr>
          <w:rFonts w:hint="eastAsia" w:ascii="仿宋_GB2312" w:hAnsi="Times New Roman" w:eastAsia="仿宋_GB2312"/>
          <w:bCs/>
          <w:sz w:val="32"/>
          <w:szCs w:val="32"/>
        </w:rPr>
        <w:t>聚焦规模化作物种植的全生命周期智能化管理，构建“感知-决策-应用”一体化农业AI大脑平台。研发“天空地人机”一体化多模态数据时空融合模型，构建融合“土壤-气象-作物”特征的区域作物三维表型数字孪生基座。研发多模态大模型，构建“知识嵌入+大模型”双引擎架构，建立覆盖典型病虫害的光谱指纹库及早期预警系统，融入生长方程约束提升诊断精度。研发玉米品种大数据及AI大模型分析与评估模块，采集示范区域品种种植表现数据，构建水、肥、药协同的多目标优化框架。通过“农机-农艺-农信”三链耦合，优化大模型驱动播种、灌溉、施肥、植保等精准作业。建设智慧农场示范应用，形成“数字基座-智慧中枢-服务终端”三级体系，贯通从土壤分析到产量预测的全链条服务，赋能育种机构精准品种田间数据监测成果，形成智慧种植标准化规程。</w:t>
      </w:r>
    </w:p>
    <w:p>
      <w:pPr>
        <w:tabs>
          <w:tab w:val="left" w:pos="312"/>
        </w:tabs>
        <w:adjustRightInd w:val="0"/>
        <w:snapToGrid w:val="0"/>
        <w:spacing w:line="600" w:lineRule="exact"/>
        <w:ind w:firstLine="642" w:firstLineChars="200"/>
        <w:rPr>
          <w:rFonts w:ascii="仿宋_GB2312" w:hAnsi="仿宋" w:eastAsia="仿宋_GB2312" w:cs="仿宋"/>
          <w:b/>
          <w:bCs/>
          <w:sz w:val="32"/>
          <w:szCs w:val="32"/>
        </w:rPr>
      </w:pPr>
      <w:r>
        <w:rPr>
          <w:rFonts w:hint="eastAsia" w:ascii="仿宋_GB2312" w:hAnsi="仿宋" w:eastAsia="仿宋_GB2312" w:cs="仿宋"/>
          <w:b/>
          <w:bCs/>
          <w:sz w:val="32"/>
          <w:szCs w:val="32"/>
        </w:rPr>
        <w:t>2.考核指标</w:t>
      </w:r>
    </w:p>
    <w:p>
      <w:pPr>
        <w:numPr>
          <w:ilvl w:val="255"/>
          <w:numId w:val="0"/>
        </w:num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（1）开发农情速测仪样机1套，集成光谱传感、AI轻量化模型与边缘计算模块，制造成本降低22%，采集效率提升35%。</w:t>
      </w:r>
    </w:p>
    <w:p>
      <w:pPr>
        <w:numPr>
          <w:ilvl w:val="255"/>
          <w:numId w:val="0"/>
        </w:num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（2）构建5种模态数据融合</w:t>
      </w:r>
      <w:r>
        <w:rPr>
          <w:rFonts w:hint="eastAsia" w:ascii="仿宋_GB2312" w:eastAsia="仿宋_GB2312" w:hAnsiTheme="minorEastAsia" w:cstheme="minorEastAsia"/>
          <w:sz w:val="32"/>
          <w:szCs w:val="32"/>
        </w:rPr>
        <w:t>多模态</w:t>
      </w:r>
      <w:r>
        <w:rPr>
          <w:rFonts w:hint="eastAsia" w:ascii="仿宋_GB2312" w:hAnsi="仿宋" w:eastAsia="仿宋_GB2312" w:cs="仿宋"/>
          <w:sz w:val="32"/>
          <w:szCs w:val="32"/>
        </w:rPr>
        <w:t>大模型（参数≥10亿），建立玉米生产知识库（实体数据≥5200条，关联关系≥2万组），建立品种数据库1套，覆盖≥5万亩种植数据，结构化存储品种生长表现、产量收益等数据≥8万条，建立“性状-环境-收益”关联模型。</w:t>
      </w:r>
    </w:p>
    <w:p>
      <w:pPr>
        <w:numPr>
          <w:ilvl w:val="255"/>
          <w:numId w:val="0"/>
        </w:num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集成多元天空地数据构建农作物生长动态评估、产量预测及品种表现多维评价模型，实现氮素反演精度≥92%，水分胁迫指数估算RMSE≤0.14，亩产预估精度≥88%，性状追溯准确率≥90%；建立覆盖6类典型病虫害的光谱指纹库，病虫害识别准确率≥89%，实现虫害爆发前5天预警。</w:t>
      </w:r>
    </w:p>
    <w:p>
      <w:pPr>
        <w:numPr>
          <w:ilvl w:val="255"/>
          <w:numId w:val="0"/>
        </w:num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（4）研发一体化农业AI大脑平台1套，实现水肥协同优化、农机调度、病虫害预警等6类功能模块，水肥协同节水20%、减氮15%，精准施药减药50%，农机调度效率提升25%。</w:t>
      </w:r>
    </w:p>
    <w:p>
      <w:pPr>
        <w:numPr>
          <w:ilvl w:val="255"/>
          <w:numId w:val="0"/>
        </w:num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（5）建设示范区5万亩，采集玉米品种表现数据20种以上，形成育种优化数据报告10份，决策执行成功率达到83%，生产成本降低20%。</w:t>
      </w:r>
    </w:p>
    <w:p>
      <w:pPr>
        <w:tabs>
          <w:tab w:val="left" w:pos="312"/>
        </w:tabs>
        <w:adjustRightInd w:val="0"/>
        <w:snapToGrid w:val="0"/>
        <w:spacing w:line="600" w:lineRule="exact"/>
        <w:ind w:firstLine="642" w:firstLineChars="200"/>
        <w:rPr>
          <w:rFonts w:ascii="仿宋_GB2312" w:hAnsi="仿宋" w:eastAsia="仿宋_GB2312" w:cs="仿宋"/>
          <w:sz w:val="32"/>
          <w:szCs w:val="32"/>
        </w:rPr>
      </w:pPr>
      <w:r>
        <w:rPr>
          <w:rFonts w:hint="eastAsia" w:ascii="仿宋_GB2312" w:hAnsi="仿宋" w:eastAsia="仿宋_GB2312" w:cs="仿宋"/>
          <w:b/>
          <w:bCs/>
          <w:sz w:val="32"/>
          <w:szCs w:val="32"/>
        </w:rPr>
        <w:t>3.实施周期：</w:t>
      </w:r>
      <w:r>
        <w:rPr>
          <w:rFonts w:hint="eastAsia" w:ascii="仿宋_GB2312" w:hAnsi="仿宋" w:eastAsia="仿宋_GB2312" w:cs="仿宋"/>
          <w:sz w:val="32"/>
          <w:szCs w:val="32"/>
        </w:rPr>
        <w:t>3年</w:t>
      </w:r>
    </w:p>
    <w:p>
      <w:pPr>
        <w:tabs>
          <w:tab w:val="left" w:pos="312"/>
        </w:tabs>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w:t>
      </w:r>
      <w:r>
        <w:rPr>
          <w:rFonts w:hint="eastAsia" w:ascii="仿宋_GB2312" w:hAnsi="仿宋" w:eastAsia="仿宋_GB2312" w:cs="仿宋"/>
          <w:b/>
          <w:bCs/>
          <w:sz w:val="32"/>
          <w:szCs w:val="32"/>
        </w:rPr>
        <w:t>拟支持资金额度：</w:t>
      </w:r>
      <w:r>
        <w:rPr>
          <w:rFonts w:hint="eastAsia" w:ascii="仿宋_GB2312" w:hAnsi="仿宋" w:eastAsia="仿宋_GB2312" w:cs="仿宋"/>
          <w:sz w:val="32"/>
          <w:szCs w:val="32"/>
        </w:rPr>
        <w:t>预计财政专项资金投入500万元，自筹不低于500万元。</w:t>
      </w:r>
    </w:p>
    <w:p>
      <w:pPr>
        <w:tabs>
          <w:tab w:val="left" w:pos="312"/>
        </w:tabs>
        <w:adjustRightInd w:val="0"/>
        <w:snapToGrid w:val="0"/>
        <w:spacing w:line="600" w:lineRule="exact"/>
        <w:ind w:firstLine="642" w:firstLineChars="200"/>
        <w:rPr>
          <w:rFonts w:ascii="仿宋_GB2312" w:hAnsi="仿宋" w:eastAsia="仿宋_GB2312" w:cs="仿宋"/>
          <w:sz w:val="32"/>
          <w:szCs w:val="32"/>
        </w:rPr>
      </w:pPr>
      <w:r>
        <w:rPr>
          <w:rFonts w:hint="eastAsia" w:ascii="仿宋_GB2312" w:hAnsi="仿宋" w:eastAsia="仿宋_GB2312" w:cs="仿宋"/>
          <w:b/>
          <w:sz w:val="32"/>
          <w:szCs w:val="32"/>
        </w:rPr>
        <w:t>5.申报主体：</w:t>
      </w:r>
      <w:r>
        <w:rPr>
          <w:rFonts w:hint="eastAsia" w:ascii="仿宋_GB2312" w:hAnsi="仿宋" w:eastAsia="仿宋_GB2312" w:cs="仿宋"/>
          <w:sz w:val="32"/>
          <w:szCs w:val="32"/>
        </w:rPr>
        <w:t>由企业牵头申报。</w:t>
      </w:r>
    </w:p>
    <w:p>
      <w:pPr>
        <w:rPr>
          <w:rFonts w:ascii="楷体_GB2312" w:hAnsi="Times New Roman" w:eastAsia="楷体_GB2312" w:cs="Times New Roman"/>
          <w:sz w:val="32"/>
          <w:szCs w:val="32"/>
        </w:rPr>
      </w:pPr>
      <w:r>
        <w:rPr>
          <w:rFonts w:ascii="楷体_GB2312" w:hAnsi="Times New Roman" w:eastAsia="楷体_GB2312" w:cs="Times New Roman"/>
          <w:sz w:val="32"/>
          <w:szCs w:val="32"/>
        </w:rPr>
        <w:br w:type="page"/>
      </w:r>
    </w:p>
    <w:p>
      <w:pPr>
        <w:adjustRightInd w:val="0"/>
        <w:snapToGrid w:val="0"/>
        <w:spacing w:line="600" w:lineRule="exact"/>
        <w:rPr>
          <w:rFonts w:ascii="楷体_GB2312" w:hAnsi="Times New Roman" w:eastAsia="楷体_GB2312" w:cs="Times New Roman"/>
          <w:sz w:val="32"/>
          <w:szCs w:val="32"/>
        </w:rPr>
      </w:pPr>
      <w:r>
        <w:rPr>
          <w:rFonts w:hint="eastAsia" w:ascii="楷体_GB2312" w:hAnsi="Times New Roman" w:eastAsia="楷体_GB2312" w:cs="Times New Roman"/>
          <w:sz w:val="32"/>
          <w:szCs w:val="32"/>
        </w:rPr>
        <w:t>低空经济-1</w:t>
      </w:r>
    </w:p>
    <w:p>
      <w:pPr>
        <w:adjustRightInd w:val="0"/>
        <w:snapToGrid w:val="0"/>
        <w:spacing w:line="600" w:lineRule="exact"/>
        <w:jc w:val="center"/>
        <w:rPr>
          <w:rFonts w:ascii="方正小标宋简体" w:hAnsi="Times New Roman" w:eastAsia="方正小标宋简体" w:cs="Times New Roman"/>
          <w:sz w:val="44"/>
          <w:szCs w:val="44"/>
        </w:rPr>
      </w:pPr>
    </w:p>
    <w:p>
      <w:pPr>
        <w:adjustRightInd w:val="0"/>
        <w:snapToGrid w:val="0"/>
        <w:spacing w:line="600" w:lineRule="exact"/>
        <w:jc w:val="center"/>
        <w:rPr>
          <w:rFonts w:ascii="方正小标宋简体" w:hAnsi="Times New Roman" w:eastAsia="方正小标宋简体" w:cs="Times New Roman"/>
          <w:sz w:val="44"/>
          <w:szCs w:val="44"/>
        </w:rPr>
      </w:pPr>
      <w:r>
        <w:rPr>
          <w:rFonts w:ascii="方正小标宋简体" w:hAnsi="Times New Roman" w:eastAsia="方正小标宋简体" w:cs="Times New Roman"/>
          <w:sz w:val="44"/>
          <w:szCs w:val="44"/>
        </w:rPr>
        <w:t>智能无人机平台驱动的生态</w:t>
      </w:r>
      <w:r>
        <w:rPr>
          <w:rFonts w:hint="eastAsia" w:ascii="方正小标宋简体" w:hAnsi="Times New Roman" w:eastAsia="方正小标宋简体" w:cs="Times New Roman"/>
          <w:sz w:val="44"/>
          <w:szCs w:val="44"/>
        </w:rPr>
        <w:t>协同</w:t>
      </w:r>
      <w:r>
        <w:rPr>
          <w:rFonts w:ascii="方正小标宋简体" w:hAnsi="Times New Roman" w:eastAsia="方正小标宋简体" w:cs="Times New Roman"/>
          <w:sz w:val="44"/>
          <w:szCs w:val="44"/>
        </w:rPr>
        <w:t>修复</w:t>
      </w:r>
    </w:p>
    <w:p>
      <w:pPr>
        <w:adjustRightInd w:val="0"/>
        <w:snapToGrid w:val="0"/>
        <w:spacing w:line="600" w:lineRule="exact"/>
        <w:jc w:val="center"/>
        <w:rPr>
          <w:rFonts w:ascii="方正小标宋简体" w:hAnsi="Times New Roman" w:eastAsia="方正小标宋简体" w:cs="Times New Roman"/>
          <w:sz w:val="44"/>
          <w:szCs w:val="44"/>
        </w:rPr>
      </w:pPr>
      <w:r>
        <w:rPr>
          <w:rFonts w:ascii="方正小标宋简体" w:hAnsi="Times New Roman" w:eastAsia="方正小标宋简体" w:cs="Times New Roman"/>
          <w:sz w:val="44"/>
          <w:szCs w:val="44"/>
        </w:rPr>
        <w:t>关键技术研究</w:t>
      </w:r>
      <w:r>
        <w:rPr>
          <w:rFonts w:hint="eastAsia" w:ascii="方正小标宋简体" w:hAnsi="Times New Roman" w:eastAsia="方正小标宋简体" w:cs="Times New Roman"/>
          <w:sz w:val="44"/>
          <w:szCs w:val="44"/>
        </w:rPr>
        <w:t>与应用示范</w:t>
      </w:r>
    </w:p>
    <w:p>
      <w:pPr>
        <w:adjustRightInd w:val="0"/>
        <w:snapToGrid w:val="0"/>
        <w:spacing w:line="600" w:lineRule="exact"/>
        <w:ind w:firstLine="562" w:firstLineChars="200"/>
        <w:rPr>
          <w:rFonts w:ascii="Times New Roman" w:hAnsi="Times New Roman" w:eastAsia="仿宋_GB2312" w:cs="Times New Roman"/>
          <w:b/>
          <w:bCs/>
          <w:sz w:val="28"/>
          <w:szCs w:val="28"/>
        </w:rPr>
      </w:pPr>
    </w:p>
    <w:p>
      <w:pPr>
        <w:adjustRightInd w:val="0"/>
        <w:snapToGrid w:val="0"/>
        <w:spacing w:line="600" w:lineRule="exact"/>
        <w:ind w:firstLine="642" w:firstLineChars="200"/>
        <w:rPr>
          <w:rFonts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1.研究内容</w:t>
      </w:r>
    </w:p>
    <w:p>
      <w:pPr>
        <w:adjustRightInd w:val="0"/>
        <w:snapToGrid w:val="0"/>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针对鄂尔多斯沙、戈、荒、矿区复合生态系统修复需求，研发可见光/多光谱/激光雷达多源异构数据融合的低空感知平台，攻克复杂地形下抗风扰飞行控制技术、多机任务分配算法与动态避障技术，实现矿区裂隙、沙化边界及植被参数的厘米级三维建模与动态追踪。基于图卷积神经网络与迁移学习算法，构建沙、戈、荒、矿区交错带生态脆弱性多尺度评价模型，形成无人机修复路径动态规划方案。建立无人机旋翼下洗气流场-种子沉降轨迹耦合模型，开发轻量化气动补偿播撒装置与在线播量调控系统，突破强风沙环境下播种定位精度与着床率提升技术瓶颈。集成北斗卫星遥感宏观监测、无人机中观干预与地面机器人微观验证，构建“监测-修复-评估”全链条数字平台，实现修复效果的多维度量化评估与方案迭代优化。</w:t>
      </w:r>
    </w:p>
    <w:p>
      <w:pPr>
        <w:adjustRightInd w:val="0"/>
        <w:snapToGrid w:val="0"/>
        <w:spacing w:line="600" w:lineRule="exact"/>
        <w:ind w:firstLine="642" w:firstLineChars="200"/>
        <w:rPr>
          <w:rFonts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2.考核指标</w:t>
      </w:r>
    </w:p>
    <w:p>
      <w:pPr>
        <w:adjustRightInd w:val="0"/>
        <w:snapToGrid w:val="0"/>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多模态传感器融合精度≥90%，沙、戈、荒、矿区三维动态建模分辨率（无沙尘暴天气条件下）≤5cm；生态退化诊断模型误差≤10%，适生植物优选匹配度≥85%；无人机播撒定位精度±0.3m，种子分布变异系数≤20%，着床率≥80%；多机协同避障响应时间≤1s，抗风能力≥6级；多尺度验证系统对植被恢复评估误差≤6%，模型预测置信度≥92%。</w:t>
      </w:r>
    </w:p>
    <w:p>
      <w:pPr>
        <w:adjustRightInd w:val="0"/>
        <w:snapToGrid w:val="0"/>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（2）申请发明专利6项；制定行业标准1项，形成技术指南2套。</w:t>
      </w:r>
    </w:p>
    <w:p>
      <w:pPr>
        <w:adjustRightInd w:val="0"/>
        <w:snapToGrid w:val="0"/>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建设生态修复示范区2个。示范区内植被覆盖率提升25%-30%，土壤侵蚀模数降低≥45%；年固碳量≥1500吨/平方公里，土壤有机质含量提升0.3%-0.8%；无人机修复作业效率≥8公顷/天，综合成本降低50%；沙尘天气频次减少25%，周边城市可吸入颗粒物（PM10）浓度年均下降12%；培训专业无人机生态修复团队5支。</w:t>
      </w:r>
    </w:p>
    <w:p>
      <w:pPr>
        <w:adjustRightInd w:val="0"/>
        <w:snapToGrid w:val="0"/>
        <w:spacing w:line="600" w:lineRule="exact"/>
        <w:ind w:firstLine="642" w:firstLineChars="200"/>
        <w:rPr>
          <w:rFonts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3.实施周期：</w:t>
      </w:r>
      <w:r>
        <w:rPr>
          <w:rFonts w:hint="eastAsia" w:ascii="仿宋_GB2312" w:hAnsi="Times New Roman" w:eastAsia="仿宋_GB2312" w:cs="Times New Roman"/>
          <w:sz w:val="32"/>
          <w:szCs w:val="32"/>
        </w:rPr>
        <w:t>3年</w:t>
      </w:r>
    </w:p>
    <w:p>
      <w:pPr>
        <w:adjustRightInd w:val="0"/>
        <w:snapToGrid w:val="0"/>
        <w:spacing w:line="600" w:lineRule="exact"/>
        <w:ind w:firstLine="642" w:firstLineChars="200"/>
        <w:rPr>
          <w:rFonts w:ascii="仿宋_GB2312" w:hAnsi="仿宋_GB2312" w:eastAsia="仿宋_GB2312" w:cs="仿宋_GB2312"/>
          <w:b/>
          <w:bCs/>
          <w:sz w:val="32"/>
          <w:szCs w:val="32"/>
        </w:rPr>
      </w:pPr>
      <w:r>
        <w:rPr>
          <w:rFonts w:hint="eastAsia" w:ascii="仿宋_GB2312" w:hAnsi="Times New Roman" w:eastAsia="仿宋_GB2312" w:cs="Times New Roman"/>
          <w:b/>
          <w:bCs/>
          <w:sz w:val="32"/>
          <w:szCs w:val="32"/>
        </w:rPr>
        <w:t>4.拟支持资金额度：</w:t>
      </w:r>
      <w:r>
        <w:rPr>
          <w:rFonts w:hint="eastAsia" w:ascii="仿宋_GB2312" w:hAnsi="仿宋" w:eastAsia="仿宋_GB2312" w:cs="仿宋"/>
          <w:sz w:val="32"/>
          <w:szCs w:val="32"/>
        </w:rPr>
        <w:t>预计财政专项资金投入800万元，自筹不低于800万元。</w:t>
      </w:r>
    </w:p>
    <w:p>
      <w:pPr>
        <w:adjustRightInd w:val="0"/>
        <w:snapToGrid w:val="0"/>
        <w:spacing w:line="600" w:lineRule="exac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5.申报主体：</w:t>
      </w:r>
      <w:r>
        <w:rPr>
          <w:rFonts w:hint="eastAsia" w:ascii="仿宋_GB2312" w:hAnsi="仿宋" w:eastAsia="仿宋_GB2312" w:cs="仿宋"/>
          <w:sz w:val="32"/>
          <w:szCs w:val="32"/>
        </w:rPr>
        <w:t>由企业牵头申报。</w:t>
      </w:r>
    </w:p>
    <w:p>
      <w:pPr>
        <w:rPr>
          <w:rFonts w:ascii="楷体_GB2312" w:hAnsi="Times New Roman" w:eastAsia="楷体_GB2312" w:cs="Times New Roman"/>
          <w:sz w:val="32"/>
          <w:szCs w:val="32"/>
        </w:rPr>
      </w:pPr>
      <w:r>
        <w:rPr>
          <w:rFonts w:hint="eastAsia" w:ascii="楷体_GB2312" w:hAnsi="Times New Roman" w:eastAsia="楷体_GB2312" w:cs="Times New Roman"/>
          <w:sz w:val="32"/>
          <w:szCs w:val="32"/>
        </w:rPr>
        <w:br w:type="page"/>
      </w:r>
    </w:p>
    <w:p>
      <w:pPr>
        <w:adjustRightInd w:val="0"/>
        <w:snapToGrid w:val="0"/>
        <w:spacing w:line="600" w:lineRule="exact"/>
        <w:rPr>
          <w:rFonts w:ascii="楷体_GB2312" w:hAnsi="Times New Roman" w:eastAsia="楷体_GB2312" w:cs="Times New Roman"/>
          <w:sz w:val="32"/>
          <w:szCs w:val="32"/>
        </w:rPr>
      </w:pPr>
      <w:r>
        <w:rPr>
          <w:rFonts w:hint="eastAsia" w:ascii="楷体_GB2312" w:hAnsi="Times New Roman" w:eastAsia="楷体_GB2312" w:cs="Times New Roman"/>
          <w:sz w:val="32"/>
          <w:szCs w:val="32"/>
        </w:rPr>
        <w:t>低空经济-2</w:t>
      </w:r>
    </w:p>
    <w:p>
      <w:pPr>
        <w:adjustRightInd w:val="0"/>
        <w:snapToGrid w:val="0"/>
        <w:spacing w:line="600" w:lineRule="exact"/>
        <w:ind w:left="25" w:right="270"/>
        <w:jc w:val="center"/>
        <w:rPr>
          <w:rFonts w:ascii="方正小标宋简体" w:eastAsia="方正小标宋简体"/>
          <w:spacing w:val="8"/>
          <w:sz w:val="44"/>
          <w:szCs w:val="44"/>
        </w:rPr>
      </w:pPr>
    </w:p>
    <w:p>
      <w:pPr>
        <w:adjustRightInd w:val="0"/>
        <w:snapToGrid w:val="0"/>
        <w:spacing w:line="600" w:lineRule="exact"/>
        <w:ind w:left="25" w:right="270"/>
        <w:jc w:val="center"/>
        <w:rPr>
          <w:rFonts w:ascii="方正小标宋简体" w:eastAsia="方正小标宋简体"/>
          <w:spacing w:val="8"/>
          <w:sz w:val="44"/>
          <w:szCs w:val="44"/>
        </w:rPr>
      </w:pPr>
      <w:r>
        <w:rPr>
          <w:rFonts w:hint="eastAsia" w:ascii="方正小标宋简体" w:eastAsia="方正小标宋简体"/>
          <w:spacing w:val="8"/>
          <w:sz w:val="44"/>
          <w:szCs w:val="44"/>
        </w:rPr>
        <w:t>多模态场景融合的低空载运装备仿真</w:t>
      </w:r>
    </w:p>
    <w:p>
      <w:pPr>
        <w:adjustRightInd w:val="0"/>
        <w:snapToGrid w:val="0"/>
        <w:spacing w:line="600" w:lineRule="exact"/>
        <w:ind w:left="25" w:right="270"/>
        <w:jc w:val="center"/>
        <w:rPr>
          <w:rFonts w:ascii="方正小标宋简体" w:eastAsia="方正小标宋简体"/>
          <w:spacing w:val="8"/>
          <w:sz w:val="44"/>
          <w:szCs w:val="44"/>
        </w:rPr>
      </w:pPr>
      <w:r>
        <w:rPr>
          <w:rFonts w:hint="eastAsia" w:ascii="方正小标宋简体" w:eastAsia="方正小标宋简体"/>
          <w:spacing w:val="8"/>
          <w:sz w:val="44"/>
          <w:szCs w:val="44"/>
        </w:rPr>
        <w:t>技术研究与应用示范</w:t>
      </w:r>
    </w:p>
    <w:p>
      <w:pPr>
        <w:adjustRightInd w:val="0"/>
        <w:snapToGrid w:val="0"/>
        <w:spacing w:line="600" w:lineRule="exact"/>
        <w:ind w:firstLine="654" w:firstLineChars="200"/>
        <w:rPr>
          <w:rFonts w:ascii="仿宋_GB2312" w:eastAsia="仿宋_GB2312"/>
          <w:b/>
          <w:bCs/>
          <w:spacing w:val="3"/>
          <w:sz w:val="32"/>
          <w:szCs w:val="32"/>
        </w:rPr>
      </w:pPr>
    </w:p>
    <w:p>
      <w:pPr>
        <w:adjustRightInd w:val="0"/>
        <w:snapToGrid w:val="0"/>
        <w:spacing w:line="600" w:lineRule="exact"/>
        <w:ind w:firstLine="654" w:firstLineChars="200"/>
        <w:rPr>
          <w:rFonts w:ascii="仿宋_GB2312" w:eastAsia="仿宋_GB2312"/>
          <w:b/>
          <w:bCs/>
          <w:sz w:val="32"/>
          <w:szCs w:val="32"/>
        </w:rPr>
      </w:pPr>
      <w:r>
        <w:rPr>
          <w:rFonts w:hint="eastAsia" w:ascii="仿宋_GB2312" w:eastAsia="仿宋_GB2312"/>
          <w:b/>
          <w:bCs/>
          <w:spacing w:val="3"/>
          <w:sz w:val="32"/>
          <w:szCs w:val="32"/>
        </w:rPr>
        <w:t>1.研究内容</w:t>
      </w:r>
    </w:p>
    <w:p>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开展eVTOL飞行训练器研发攻关，研究模块化eVTOL半实物仿真平台，基于硬件在环（HIL）技术集成高保真飞行控制模型、多物理场环境模型以及传感器模拟单元，突破飞行性能验证、极端工况测试和故障模拟重构难题。基于模型组件化（MBD）方法搭建飞控、航电和仪表系统联合开发架构，构建包含飞行模态管理、综合航电链路、数字孪生仪表等核心模块的标准化模型库，实现多系统耦合仿真和FAA适航标准的仿真组件。研究模拟极端天气下新能源供电对eVTOL动力系统的稳定性影响，突破飞行训练器基于本地风场数据的动态气流干扰难题，提升仿真环境与鄂尔多斯沙地、草原气候的匹配度与仿真精度。开展基于复杂气动耦合控制仿真研究，构建覆盖“适航认证-驾驶训练-可信度评估”的全栈式解决方案。</w:t>
      </w:r>
    </w:p>
    <w:p>
      <w:pPr>
        <w:adjustRightInd w:val="0"/>
        <w:snapToGrid w:val="0"/>
        <w:spacing w:line="600" w:lineRule="exact"/>
        <w:ind w:firstLine="654" w:firstLineChars="200"/>
        <w:rPr>
          <w:rFonts w:ascii="仿宋_GB2312" w:eastAsia="仿宋_GB2312"/>
          <w:b/>
          <w:bCs/>
          <w:spacing w:val="3"/>
          <w:sz w:val="32"/>
          <w:szCs w:val="32"/>
        </w:rPr>
      </w:pPr>
      <w:r>
        <w:rPr>
          <w:rFonts w:hint="eastAsia" w:ascii="仿宋_GB2312" w:eastAsia="仿宋_GB2312"/>
          <w:b/>
          <w:bCs/>
          <w:spacing w:val="3"/>
          <w:sz w:val="32"/>
          <w:szCs w:val="32"/>
        </w:rPr>
        <w:t>2.考核指标</w:t>
      </w:r>
    </w:p>
    <w:p>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1）建成支持复杂环境气候特征与多物理场耦合的eVTOL高保真仿真训练系统1套，模块化仿真平台支持不少于3种eVTOL机型快速切换，模型重构时间≤30分钟；硬件在环（HIL）仿真延迟≤50ms，传感器模拟单元精度误差≤0.5%FS（满量程）；极端工况测试覆盖率≥90%（含单点失效、多模态故障注入）；旋翼-固定翼过渡阶段升力系数与风洞实验数据偏差≤5%；多物理场环境模型支持动态风场（分辨率≤10m）、沙尘/降雪等极端天气模拟，与鄂尔多斯实际气候数据匹配度≥95%；新能源动力系统稳定性仿真误差≤5%（对比实测数据）；支持≥20类典型故障模式（如电池骤降、舵面卡死）的实时重构。</w:t>
      </w:r>
    </w:p>
    <w:p>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2）构建不少于30种典型飞行场景（垂直起降、紧急避障、沙尘暴穿越等），其中极端天气场景占比≥30%；动态气流干扰模拟精度（对比本地风场数据）误差＜5%；飞行员训练后操作失误率降低50%（对比传统模拟器）；仿真系统MTBF≥500小时；城市建筑、障碍物模型与真实环境坐标偏差（均方根）≤1米。</w:t>
      </w:r>
    </w:p>
    <w:p>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（3）申请发明专利5项；实现动态气流干扰模型的实时计算（延迟≤100ms）；eVTOL训练器原型成本较国际同类产品降低20%。</w:t>
      </w:r>
    </w:p>
    <w:p>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（4）建设低空载运装备运营示范基地，完成2家国内外eVTOL制造商的联合测试与适配。</w:t>
      </w:r>
    </w:p>
    <w:p>
      <w:pPr>
        <w:adjustRightInd w:val="0"/>
        <w:snapToGrid w:val="0"/>
        <w:spacing w:line="600" w:lineRule="exact"/>
        <w:ind w:firstLine="642" w:firstLineChars="200"/>
        <w:rPr>
          <w:rFonts w:ascii="仿宋_GB2312" w:eastAsia="仿宋_GB2312"/>
          <w:sz w:val="32"/>
          <w:szCs w:val="32"/>
        </w:rPr>
      </w:pPr>
      <w:r>
        <w:rPr>
          <w:rFonts w:hint="eastAsia" w:ascii="仿宋_GB2312" w:eastAsia="仿宋_GB2312"/>
          <w:b/>
          <w:bCs/>
          <w:sz w:val="32"/>
          <w:szCs w:val="32"/>
        </w:rPr>
        <w:t>3.实施周期：</w:t>
      </w:r>
      <w:r>
        <w:rPr>
          <w:rFonts w:hint="eastAsia" w:ascii="仿宋_GB2312" w:eastAsia="仿宋_GB2312"/>
          <w:sz w:val="32"/>
          <w:szCs w:val="32"/>
        </w:rPr>
        <w:t>3年</w:t>
      </w:r>
    </w:p>
    <w:p>
      <w:pPr>
        <w:adjustRightInd w:val="0"/>
        <w:snapToGrid w:val="0"/>
        <w:spacing w:line="600" w:lineRule="exact"/>
        <w:ind w:firstLine="642" w:firstLineChars="200"/>
        <w:rPr>
          <w:rFonts w:ascii="仿宋_GB2312" w:hAnsi="仿宋" w:eastAsia="仿宋_GB2312" w:cs="仿宋"/>
          <w:sz w:val="32"/>
          <w:szCs w:val="32"/>
        </w:rPr>
      </w:pPr>
      <w:r>
        <w:rPr>
          <w:rFonts w:hint="eastAsia" w:ascii="仿宋_GB2312" w:eastAsia="仿宋_GB2312"/>
          <w:b/>
          <w:bCs/>
          <w:sz w:val="32"/>
          <w:szCs w:val="32"/>
        </w:rPr>
        <w:t>4.拟支持资金额度：</w:t>
      </w:r>
      <w:r>
        <w:rPr>
          <w:rFonts w:hint="eastAsia" w:ascii="仿宋_GB2312" w:hAnsi="仿宋" w:eastAsia="仿宋_GB2312" w:cs="仿宋"/>
          <w:sz w:val="32"/>
          <w:szCs w:val="32"/>
        </w:rPr>
        <w:t>预计财政专项资金投入500万元，自筹不低于500万元。</w:t>
      </w:r>
    </w:p>
    <w:p>
      <w:pPr>
        <w:adjustRightInd w:val="0"/>
        <w:snapToGrid w:val="0"/>
        <w:spacing w:line="600" w:lineRule="exact"/>
        <w:ind w:firstLine="642" w:firstLineChars="200"/>
        <w:rPr>
          <w:rFonts w:ascii="楷体_GB2312" w:hAnsi="Times New Roman" w:eastAsia="楷体_GB2312" w:cs="Times New Roman"/>
          <w:sz w:val="32"/>
          <w:szCs w:val="32"/>
        </w:rPr>
      </w:pPr>
      <w:r>
        <w:rPr>
          <w:rFonts w:hint="eastAsia" w:ascii="仿宋_GB2312" w:hAnsi="仿宋" w:eastAsia="仿宋_GB2312" w:cs="仿宋"/>
          <w:b/>
          <w:sz w:val="32"/>
          <w:szCs w:val="32"/>
        </w:rPr>
        <w:t>5.申报主体：</w:t>
      </w:r>
      <w:r>
        <w:rPr>
          <w:rFonts w:hint="eastAsia" w:ascii="仿宋_GB2312" w:hAnsi="仿宋" w:eastAsia="仿宋_GB2312" w:cs="仿宋"/>
          <w:sz w:val="32"/>
          <w:szCs w:val="32"/>
        </w:rPr>
        <w:t>由企业牵头申报。</w:t>
      </w:r>
    </w:p>
    <w:p>
      <w:pPr>
        <w:adjustRightInd w:val="0"/>
        <w:snapToGrid w:val="0"/>
        <w:spacing w:line="600" w:lineRule="exact"/>
        <w:rPr>
          <w:rFonts w:ascii="楷体_GB2312" w:hAnsi="Times New Roman" w:eastAsia="楷体_GB2312" w:cs="Times New Roman"/>
          <w:sz w:val="32"/>
          <w:szCs w:val="32"/>
        </w:rPr>
      </w:pPr>
      <w:r>
        <w:rPr>
          <w:rFonts w:hint="eastAsia" w:ascii="楷体_GB2312" w:hAnsi="Times New Roman" w:eastAsia="楷体_GB2312" w:cs="Times New Roman"/>
          <w:sz w:val="32"/>
          <w:szCs w:val="32"/>
        </w:rPr>
        <w:t>低空经济-3</w:t>
      </w:r>
    </w:p>
    <w:p>
      <w:pPr>
        <w:adjustRightInd w:val="0"/>
        <w:snapToGrid w:val="0"/>
        <w:spacing w:line="600" w:lineRule="exact"/>
        <w:rPr>
          <w:rFonts w:ascii="方正小标宋简体" w:hAnsi="Times New Roman" w:eastAsia="方正小标宋简体" w:cs="Times New Roman"/>
          <w:spacing w:val="6"/>
          <w:sz w:val="44"/>
          <w:szCs w:val="44"/>
        </w:rPr>
      </w:pPr>
    </w:p>
    <w:p>
      <w:pPr>
        <w:adjustRightInd w:val="0"/>
        <w:snapToGrid w:val="0"/>
        <w:spacing w:line="600" w:lineRule="exact"/>
        <w:jc w:val="center"/>
        <w:rPr>
          <w:rFonts w:ascii="方正小标宋简体" w:hAnsi="Times New Roman" w:eastAsia="方正小标宋简体" w:cs="Times New Roman"/>
          <w:spacing w:val="6"/>
          <w:sz w:val="44"/>
          <w:szCs w:val="44"/>
          <w:highlight w:val="none"/>
        </w:rPr>
      </w:pPr>
      <w:r>
        <w:rPr>
          <w:rFonts w:hint="eastAsia" w:ascii="方正小标宋简体" w:hAnsi="Times New Roman" w:eastAsia="方正小标宋简体" w:cs="Times New Roman"/>
          <w:spacing w:val="6"/>
          <w:sz w:val="44"/>
          <w:szCs w:val="44"/>
          <w:highlight w:val="none"/>
        </w:rPr>
        <w:t>电力传输设施地空一体化巡检技术</w:t>
      </w:r>
    </w:p>
    <w:p>
      <w:pPr>
        <w:adjustRightInd w:val="0"/>
        <w:snapToGrid w:val="0"/>
        <w:spacing w:line="600" w:lineRule="exact"/>
        <w:jc w:val="center"/>
        <w:rPr>
          <w:rFonts w:ascii="方正小标宋简体" w:hAnsi="Times New Roman" w:eastAsia="方正小标宋简体" w:cs="Times New Roman"/>
          <w:spacing w:val="6"/>
          <w:sz w:val="44"/>
          <w:szCs w:val="44"/>
          <w:highlight w:val="none"/>
        </w:rPr>
      </w:pPr>
      <w:r>
        <w:rPr>
          <w:rFonts w:hint="eastAsia" w:ascii="方正小标宋简体" w:hAnsi="Times New Roman" w:eastAsia="方正小标宋简体" w:cs="Times New Roman"/>
          <w:spacing w:val="6"/>
          <w:sz w:val="44"/>
          <w:szCs w:val="44"/>
          <w:highlight w:val="none"/>
        </w:rPr>
        <w:t>研究与</w:t>
      </w:r>
      <w:r>
        <w:rPr>
          <w:rFonts w:ascii="方正小标宋简体" w:hAnsi="Times New Roman" w:eastAsia="方正小标宋简体" w:cs="Times New Roman"/>
          <w:spacing w:val="6"/>
          <w:sz w:val="44"/>
          <w:szCs w:val="44"/>
          <w:highlight w:val="none"/>
        </w:rPr>
        <w:t>应用示范</w:t>
      </w:r>
    </w:p>
    <w:p>
      <w:pPr>
        <w:pStyle w:val="3"/>
        <w:widowControl w:val="0"/>
        <w:adjustRightInd w:val="0"/>
        <w:snapToGrid w:val="0"/>
        <w:spacing w:after="0" w:line="600" w:lineRule="exact"/>
        <w:rPr>
          <w:rFonts w:ascii="仿宋_GB2312" w:hAnsi="Times New Roman" w:eastAsia="仿宋_GB2312" w:cs="Times New Roman"/>
          <w:b/>
          <w:bCs/>
          <w:spacing w:val="5"/>
          <w:sz w:val="32"/>
          <w:szCs w:val="32"/>
        </w:rPr>
      </w:pPr>
    </w:p>
    <w:p>
      <w:pPr>
        <w:pStyle w:val="3"/>
        <w:widowControl w:val="0"/>
        <w:adjustRightInd w:val="0"/>
        <w:snapToGrid w:val="0"/>
        <w:spacing w:after="0" w:line="600" w:lineRule="exact"/>
        <w:ind w:firstLine="658"/>
        <w:rPr>
          <w:rFonts w:ascii="仿宋_GB2312" w:hAnsi="Times New Roman" w:eastAsia="仿宋_GB2312" w:cs="Times New Roman"/>
          <w:b/>
          <w:bCs/>
          <w:spacing w:val="5"/>
          <w:sz w:val="32"/>
          <w:szCs w:val="32"/>
        </w:rPr>
      </w:pPr>
      <w:r>
        <w:rPr>
          <w:rFonts w:hint="eastAsia" w:ascii="仿宋_GB2312" w:hAnsi="Times New Roman" w:eastAsia="仿宋_GB2312" w:cs="Times New Roman"/>
          <w:b/>
          <w:bCs/>
          <w:spacing w:val="5"/>
          <w:sz w:val="32"/>
          <w:szCs w:val="32"/>
        </w:rPr>
        <w:t>1.研究内容</w:t>
      </w:r>
    </w:p>
    <w:p>
      <w:pPr>
        <w:pStyle w:val="3"/>
        <w:widowControl w:val="0"/>
        <w:adjustRightInd w:val="0"/>
        <w:snapToGrid w:val="0"/>
        <w:spacing w:after="0" w:line="600" w:lineRule="exact"/>
        <w:ind w:firstLine="658"/>
        <w:jc w:val="both"/>
        <w:rPr>
          <w:rFonts w:ascii="仿宋_GB2312" w:hAnsi="Times New Roman" w:eastAsia="仿宋_GB2312" w:cs="Times New Roman"/>
          <w:sz w:val="32"/>
          <w:szCs w:val="32"/>
        </w:rPr>
      </w:pPr>
      <w:r>
        <w:rPr>
          <w:rFonts w:hint="eastAsia" w:ascii="仿宋_GB2312" w:hAnsi="Times New Roman" w:eastAsia="仿宋_GB2312" w:cs="Times New Roman"/>
          <w:spacing w:val="5"/>
          <w:sz w:val="32"/>
          <w:szCs w:val="32"/>
        </w:rPr>
        <w:t>瞄准新型无人值守智能变电站的建设需求，</w:t>
      </w:r>
      <w:r>
        <w:rPr>
          <w:rFonts w:hint="eastAsia" w:ascii="仿宋_GB2312" w:hAnsi="Times New Roman" w:eastAsia="仿宋_GB2312" w:cs="Times New Roman"/>
          <w:sz w:val="32"/>
          <w:szCs w:val="32"/>
        </w:rPr>
        <w:t>研发地空一体全息数字化管控系统，基于高精度点云生成变电站数字孪生体。开展协同任务分配与调度、多模态数据融合等协同联动巡检算法研究，通过全息数字化管控系统实现视频监控设备、四足机器人以及无人机等设备的协同联动，实现协同设备统一集中管理与巡视点位全覆盖。改进定制化无人机和四足机器人，搭载新型传感设备，提高无人机和四足机器人的定位精度，集成缺陷识别算法和专用/加密无线通信，实现智能变电站缺陷的准确识别与快速反馈。通过高精度激光点云+多源监控视频融合方式，结合摄像机视域分析算法及可见光图像、热红外图像分析技术，呈现关键信息动态可视化，实现巡视点自动匹配与巡视路线生成，智能识别与诊断智能变电站关键故障与隐患，构建“监测-评估-预警”全链条数字平台，全面提升智能变电站的健康管理水平。</w:t>
      </w:r>
    </w:p>
    <w:p>
      <w:pPr>
        <w:pStyle w:val="3"/>
        <w:widowControl w:val="0"/>
        <w:adjustRightInd w:val="0"/>
        <w:snapToGrid w:val="0"/>
        <w:spacing w:after="0" w:line="600" w:lineRule="exact"/>
        <w:ind w:firstLine="658"/>
        <w:rPr>
          <w:rFonts w:ascii="仿宋_GB2312" w:hAnsi="Times New Roman" w:eastAsia="仿宋_GB2312" w:cs="Times New Roman"/>
          <w:b/>
          <w:bCs/>
          <w:spacing w:val="5"/>
          <w:sz w:val="32"/>
          <w:szCs w:val="32"/>
        </w:rPr>
      </w:pPr>
      <w:r>
        <w:rPr>
          <w:rFonts w:hint="eastAsia" w:ascii="仿宋_GB2312" w:hAnsi="Times New Roman" w:eastAsia="仿宋_GB2312" w:cs="Times New Roman"/>
          <w:b/>
          <w:bCs/>
          <w:spacing w:val="5"/>
          <w:sz w:val="32"/>
          <w:szCs w:val="32"/>
        </w:rPr>
        <w:t>2.考核指标</w:t>
      </w:r>
    </w:p>
    <w:p>
      <w:pPr>
        <w:pStyle w:val="3"/>
        <w:widowControl w:val="0"/>
        <w:adjustRightInd w:val="0"/>
        <w:snapToGrid w:val="0"/>
        <w:spacing w:after="0" w:line="600" w:lineRule="exact"/>
        <w:ind w:firstLine="658"/>
        <w:jc w:val="both"/>
        <w:rPr>
          <w:rFonts w:ascii="仿宋_GB2312" w:hAnsi="Times New Roman" w:eastAsia="仿宋_GB2312" w:cs="Times New Roman"/>
          <w:spacing w:val="5"/>
          <w:sz w:val="32"/>
          <w:szCs w:val="32"/>
        </w:rPr>
      </w:pPr>
      <w:r>
        <w:rPr>
          <w:rFonts w:hint="eastAsia" w:ascii="仿宋_GB2312" w:hAnsi="Times New Roman" w:eastAsia="仿宋_GB2312" w:cs="Times New Roman"/>
          <w:spacing w:val="5"/>
          <w:sz w:val="32"/>
          <w:szCs w:val="32"/>
        </w:rPr>
        <w:t>（1）研发地空一体全息数字化管控系统1套，包含基于高精度变电站数字孪生体（精度&lt;5cm)的场景模型搭建、交互操作、智能设备协同管控、巡视任务建立下发、巡视结果报告生成、故障数据收集与智能分析等功能模块；变电站无人联合智能巡检覆盖率达到100%，全面巡检频次不少于2次/天。</w:t>
      </w:r>
    </w:p>
    <w:p>
      <w:pPr>
        <w:pStyle w:val="3"/>
        <w:widowControl w:val="0"/>
        <w:adjustRightInd w:val="0"/>
        <w:snapToGrid w:val="0"/>
        <w:spacing w:after="0" w:line="600" w:lineRule="exact"/>
        <w:ind w:firstLine="658"/>
        <w:jc w:val="both"/>
        <w:rPr>
          <w:rFonts w:ascii="仿宋_GB2312" w:hAnsi="Times New Roman" w:eastAsia="仿宋_GB2312" w:cs="Times New Roman"/>
          <w:spacing w:val="5"/>
          <w:sz w:val="32"/>
          <w:szCs w:val="32"/>
        </w:rPr>
      </w:pPr>
      <w:r>
        <w:rPr>
          <w:rFonts w:hint="eastAsia" w:ascii="仿宋_GB2312" w:hAnsi="Times New Roman" w:eastAsia="仿宋_GB2312" w:cs="Times New Roman"/>
          <w:spacing w:val="5"/>
          <w:sz w:val="32"/>
          <w:szCs w:val="32"/>
        </w:rPr>
        <w:t>（2）改进后的无人机适应-30℃至50℃的环境温度，识别螺栓松动、漏油等典型缺陷的准确率≥90%、高温隐患识别准确率≥95%，缺陷隐患实时告警上传联合巡检平台≤10秒，无人机接受数字化管控系统实时巡检点位变更时间≤5秒；改进后的机器人适应-30℃至50℃的环境温度，识别算法对仪表异常读数虚警率小于2%，接地及变压器油池滴漏、油污识别算法准确率≥90%；机器人端侧控制算法实现与无人机、视频设备的联动，响应数字化管控系统实时调度时间≤2秒。</w:t>
      </w:r>
    </w:p>
    <w:p>
      <w:pPr>
        <w:adjustRightInd w:val="0"/>
        <w:snapToGrid w:val="0"/>
        <w:spacing w:line="600" w:lineRule="exact"/>
        <w:ind w:firstLine="660" w:firstLineChars="200"/>
        <w:rPr>
          <w:rFonts w:ascii="仿宋_GB2312" w:hAnsi="Times New Roman" w:eastAsia="仿宋_GB2312" w:cs="Times New Roman"/>
          <w:spacing w:val="5"/>
          <w:kern w:val="0"/>
          <w:sz w:val="32"/>
          <w:szCs w:val="32"/>
        </w:rPr>
      </w:pPr>
      <w:r>
        <w:rPr>
          <w:rFonts w:hint="eastAsia" w:ascii="仿宋_GB2312" w:hAnsi="Times New Roman" w:eastAsia="仿宋_GB2312" w:cs="Times New Roman"/>
          <w:spacing w:val="5"/>
          <w:kern w:val="0"/>
          <w:sz w:val="32"/>
          <w:szCs w:val="32"/>
        </w:rPr>
        <w:t>（3）申请发明专利5项。</w:t>
      </w:r>
    </w:p>
    <w:p>
      <w:pPr>
        <w:pStyle w:val="3"/>
        <w:widowControl w:val="0"/>
        <w:adjustRightInd w:val="0"/>
        <w:snapToGrid w:val="0"/>
        <w:spacing w:after="0" w:line="600" w:lineRule="exact"/>
        <w:ind w:firstLine="658"/>
        <w:jc w:val="both"/>
        <w:rPr>
          <w:rFonts w:ascii="仿宋_GB2312" w:hAnsi="Times New Roman" w:eastAsia="仿宋_GB2312" w:cs="Times New Roman"/>
          <w:spacing w:val="5"/>
          <w:sz w:val="32"/>
          <w:szCs w:val="32"/>
        </w:rPr>
      </w:pPr>
      <w:r>
        <w:rPr>
          <w:rFonts w:hint="eastAsia" w:ascii="仿宋_GB2312" w:hAnsi="Times New Roman" w:eastAsia="仿宋_GB2312" w:cs="Times New Roman"/>
          <w:spacing w:val="5"/>
          <w:sz w:val="32"/>
          <w:szCs w:val="32"/>
        </w:rPr>
        <w:t>（4）项目成果在2个220KV变电站应用示范，变电站单站巡检时间从2.5小时缩短至1小时，巡检效率提高60%。</w:t>
      </w:r>
    </w:p>
    <w:p>
      <w:pPr>
        <w:pStyle w:val="3"/>
        <w:widowControl w:val="0"/>
        <w:adjustRightInd w:val="0"/>
        <w:snapToGrid w:val="0"/>
        <w:spacing w:after="0" w:line="600" w:lineRule="exact"/>
        <w:ind w:firstLine="658"/>
        <w:rPr>
          <w:rFonts w:ascii="仿宋_GB2312" w:hAnsi="Times New Roman" w:eastAsia="仿宋_GB2312" w:cs="Times New Roman"/>
          <w:b/>
          <w:bCs/>
          <w:spacing w:val="5"/>
          <w:sz w:val="32"/>
          <w:szCs w:val="32"/>
        </w:rPr>
      </w:pPr>
      <w:r>
        <w:rPr>
          <w:rFonts w:hint="eastAsia" w:ascii="仿宋_GB2312" w:hAnsi="Times New Roman" w:eastAsia="仿宋_GB2312" w:cs="Times New Roman"/>
          <w:b/>
          <w:bCs/>
          <w:spacing w:val="5"/>
          <w:sz w:val="32"/>
          <w:szCs w:val="32"/>
        </w:rPr>
        <w:t>3.实施周期：</w:t>
      </w:r>
      <w:r>
        <w:rPr>
          <w:rFonts w:hint="eastAsia" w:ascii="仿宋_GB2312" w:hAnsi="Times New Roman" w:eastAsia="仿宋_GB2312" w:cs="Times New Roman"/>
          <w:spacing w:val="5"/>
          <w:sz w:val="32"/>
          <w:szCs w:val="32"/>
        </w:rPr>
        <w:t>3年</w:t>
      </w:r>
    </w:p>
    <w:p>
      <w:pPr>
        <w:pStyle w:val="3"/>
        <w:widowControl w:val="0"/>
        <w:adjustRightInd w:val="0"/>
        <w:snapToGrid w:val="0"/>
        <w:spacing w:after="0" w:line="600" w:lineRule="exact"/>
        <w:ind w:firstLine="658"/>
        <w:rPr>
          <w:rFonts w:ascii="仿宋_GB2312" w:hAnsi="Times New Roman" w:eastAsia="仿宋_GB2312" w:cs="Times New Roman"/>
          <w:b/>
          <w:bCs/>
          <w:spacing w:val="5"/>
          <w:sz w:val="32"/>
          <w:szCs w:val="32"/>
        </w:rPr>
      </w:pPr>
      <w:r>
        <w:rPr>
          <w:rFonts w:hint="eastAsia" w:ascii="仿宋_GB2312" w:hAnsi="Times New Roman" w:eastAsia="仿宋_GB2312" w:cs="Times New Roman"/>
          <w:b/>
          <w:bCs/>
          <w:spacing w:val="5"/>
          <w:sz w:val="32"/>
          <w:szCs w:val="32"/>
        </w:rPr>
        <w:t>4.拟支持资金额度：</w:t>
      </w:r>
      <w:r>
        <w:rPr>
          <w:rFonts w:hint="eastAsia" w:ascii="仿宋_GB2312" w:hAnsi="仿宋" w:eastAsia="仿宋_GB2312" w:cs="仿宋"/>
          <w:sz w:val="32"/>
          <w:szCs w:val="32"/>
        </w:rPr>
        <w:t>预计财政专项资金投入500万元，自筹不低于500万元。</w:t>
      </w:r>
    </w:p>
    <w:p>
      <w:pPr>
        <w:adjustRightInd w:val="0"/>
        <w:snapToGrid w:val="0"/>
        <w:spacing w:line="600" w:lineRule="exact"/>
        <w:rPr>
          <w:rFonts w:ascii="楷体_GB2312" w:hAnsi="Times New Roman" w:eastAsia="楷体_GB2312" w:cs="Times New Roman"/>
          <w:sz w:val="32"/>
          <w:szCs w:val="32"/>
        </w:rPr>
      </w:pPr>
      <w:r>
        <w:rPr>
          <w:rFonts w:hint="eastAsia" w:ascii="楷体_GB2312" w:hAnsi="Times New Roman" w:eastAsia="楷体_GB2312" w:cs="Times New Roman"/>
          <w:sz w:val="32"/>
          <w:szCs w:val="32"/>
        </w:rPr>
        <w:t xml:space="preserve">    </w:t>
      </w:r>
      <w:r>
        <w:rPr>
          <w:rFonts w:hint="eastAsia" w:ascii="仿宋_GB2312" w:hAnsi="Times New Roman" w:eastAsia="仿宋_GB2312" w:cs="Times New Roman"/>
          <w:b/>
          <w:sz w:val="32"/>
          <w:szCs w:val="32"/>
        </w:rPr>
        <w:t>5.申报主体：</w:t>
      </w:r>
      <w:r>
        <w:rPr>
          <w:rFonts w:hint="eastAsia" w:ascii="仿宋_GB2312" w:hAnsi="仿宋" w:eastAsia="仿宋_GB2312" w:cs="仿宋"/>
          <w:sz w:val="32"/>
          <w:szCs w:val="32"/>
        </w:rPr>
        <w:t>由企业牵头申报。</w:t>
      </w:r>
    </w:p>
    <w:p>
      <w:pPr>
        <w:adjustRightInd w:val="0"/>
        <w:snapToGrid w:val="0"/>
        <w:spacing w:line="600" w:lineRule="exact"/>
        <w:rPr>
          <w:rFonts w:ascii="楷体_GB2312" w:hAnsi="Times New Roman" w:eastAsia="楷体_GB2312" w:cs="Times New Roman"/>
          <w:sz w:val="32"/>
          <w:szCs w:val="32"/>
        </w:rPr>
      </w:pPr>
    </w:p>
    <w:p>
      <w:pPr>
        <w:adjustRightInd w:val="0"/>
        <w:snapToGrid w:val="0"/>
        <w:spacing w:line="600" w:lineRule="exact"/>
        <w:rPr>
          <w:rFonts w:ascii="楷体_GB2312" w:hAnsi="Times New Roman" w:eastAsia="楷体_GB2312" w:cs="Times New Roman"/>
          <w:sz w:val="32"/>
          <w:szCs w:val="32"/>
        </w:rPr>
      </w:pPr>
    </w:p>
    <w:p>
      <w:pPr>
        <w:adjustRightInd w:val="0"/>
        <w:snapToGrid w:val="0"/>
        <w:spacing w:line="600" w:lineRule="exact"/>
        <w:rPr>
          <w:rFonts w:ascii="楷体_GB2312" w:hAnsi="Times New Roman" w:eastAsia="楷体_GB2312" w:cs="Times New Roman"/>
          <w:sz w:val="32"/>
          <w:szCs w:val="32"/>
        </w:rPr>
      </w:pPr>
    </w:p>
    <w:p>
      <w:pPr>
        <w:adjustRightInd w:val="0"/>
        <w:snapToGrid w:val="0"/>
        <w:spacing w:line="600" w:lineRule="exact"/>
        <w:rPr>
          <w:rFonts w:ascii="仿宋_GB2312" w:hAnsi="仿宋" w:eastAsia="仿宋_GB2312" w:cs="仿宋"/>
          <w:sz w:val="32"/>
          <w:szCs w:val="32"/>
        </w:rPr>
      </w:pPr>
      <w:r>
        <w:rPr>
          <w:rFonts w:hint="eastAsia" w:ascii="楷体_GB2312" w:hAnsi="仿宋_GB2312" w:eastAsia="楷体_GB2312" w:cs="仿宋_GB2312"/>
          <w:bCs/>
          <w:sz w:val="32"/>
          <w:szCs w:val="32"/>
        </w:rPr>
        <w:t>新型化工与新材料领域-1</w:t>
      </w:r>
    </w:p>
    <w:p>
      <w:pPr>
        <w:adjustRightInd w:val="0"/>
        <w:snapToGrid w:val="0"/>
        <w:spacing w:line="600" w:lineRule="exact"/>
        <w:rPr>
          <w:rFonts w:ascii="仿宋_GB2312" w:hAnsi="仿宋_GB2312" w:eastAsia="仿宋_GB2312" w:cs="仿宋_GB2312"/>
          <w:b/>
          <w:bCs/>
          <w:sz w:val="32"/>
          <w:szCs w:val="32"/>
        </w:rPr>
      </w:pPr>
    </w:p>
    <w:p>
      <w:pPr>
        <w:adjustRightInd w:val="0"/>
        <w:snapToGrid w:val="0"/>
        <w:spacing w:line="600" w:lineRule="exact"/>
        <w:jc w:val="center"/>
        <w:rPr>
          <w:rFonts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面向新型储能应用的流化床电极</w:t>
      </w:r>
    </w:p>
    <w:p>
      <w:pPr>
        <w:adjustRightInd w:val="0"/>
        <w:snapToGrid w:val="0"/>
        <w:spacing w:line="600" w:lineRule="exact"/>
        <w:jc w:val="center"/>
        <w:rPr>
          <w:rFonts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多孔炭技术及百吨级示范</w:t>
      </w:r>
    </w:p>
    <w:p>
      <w:pPr>
        <w:adjustRightInd w:val="0"/>
        <w:snapToGrid w:val="0"/>
        <w:spacing w:line="600" w:lineRule="exact"/>
        <w:ind w:firstLine="642" w:firstLineChars="200"/>
        <w:rPr>
          <w:rFonts w:ascii="仿宋_GB2312" w:hAnsi="仿宋_GB2312" w:eastAsia="仿宋_GB2312" w:cs="仿宋_GB2312"/>
          <w:b/>
          <w:bCs/>
          <w:sz w:val="32"/>
          <w:szCs w:val="32"/>
        </w:rPr>
      </w:pPr>
    </w:p>
    <w:p>
      <w:pPr>
        <w:adjustRightInd w:val="0"/>
        <w:snapToGrid w:val="0"/>
        <w:spacing w:line="60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1.研究内容</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创制基于流化床技术的电极多孔炭的高效可控制备技术，提高电极多孔炭的产量和产品均一性。详细研究活化工艺，建立电极多孔炭结构与性能之间的关系。设计与制造百吨级/年电极多孔炭流化床反应装置。研究优化中试放大过程中电极多孔炭流化床制备技术的最佳工艺参数。基于示范装置数据，编制千吨级/年流化床工艺包，形成流化床电极多孔炭制备工艺的成本效益分析报告。</w:t>
      </w:r>
    </w:p>
    <w:p>
      <w:pPr>
        <w:adjustRightInd w:val="0"/>
        <w:snapToGrid w:val="0"/>
        <w:spacing w:line="60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2.考核指标</w:t>
      </w:r>
    </w:p>
    <w:p>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（1）电极多孔炭性能指标：实现多孔炭产品比表面积1500-2300 m2/g、孔容0.6-1.5 ml/g和介孔率20%-60%范围内可调；基于比表面积的产品批次一致性误差&lt;1%；产品的电化学性能达到电化学电容器多孔炭（电容炭）国际标准，并满足高功率锂离子电池电极材料的市场要求，提供两家以上企业的试用报告。</w:t>
      </w:r>
    </w:p>
    <w:p>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（2）建成100吨/年流化床电极多孔炭示范装置，完成开车与装置72小时标定工作，形成工艺报告。</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（3）申请发明专利不少于5项，编制千吨级/年流化床多孔炭制造技术工艺包。</w:t>
      </w:r>
    </w:p>
    <w:p>
      <w:pPr>
        <w:adjustRightInd w:val="0"/>
        <w:snapToGrid w:val="0"/>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）项目成果在</w:t>
      </w:r>
      <w:r>
        <w:rPr>
          <w:rFonts w:hint="eastAsia" w:ascii="仿宋_GB2312" w:hAnsi="仿宋_GB2312" w:eastAsia="仿宋_GB2312" w:cs="仿宋_GB2312"/>
          <w:sz w:val="32"/>
          <w:szCs w:val="32"/>
        </w:rPr>
        <w:t>2家企业完成应用示范。</w:t>
      </w:r>
    </w:p>
    <w:p>
      <w:pPr>
        <w:adjustRightInd w:val="0"/>
        <w:snapToGrid w:val="0"/>
        <w:spacing w:line="60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3.实施周期</w:t>
      </w:r>
      <w:r>
        <w:rPr>
          <w:rFonts w:hint="eastAsia" w:ascii="仿宋_GB2312" w:hAnsi="仿宋_GB2312" w:eastAsia="仿宋_GB2312" w:cs="仿宋_GB2312"/>
          <w:sz w:val="32"/>
          <w:szCs w:val="32"/>
        </w:rPr>
        <w:t>：3年</w:t>
      </w:r>
    </w:p>
    <w:p>
      <w:pPr>
        <w:adjustRightInd w:val="0"/>
        <w:snapToGrid w:val="0"/>
        <w:spacing w:line="60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4.拟支持资金额度</w:t>
      </w:r>
      <w:r>
        <w:rPr>
          <w:rFonts w:hint="eastAsia" w:ascii="仿宋_GB2312" w:hAnsi="仿宋_GB2312" w:eastAsia="仿宋_GB2312" w:cs="仿宋_GB2312"/>
          <w:sz w:val="32"/>
          <w:szCs w:val="32"/>
        </w:rPr>
        <w:t>：预计财政专项资金投入1000万元</w:t>
      </w:r>
      <w:r>
        <w:rPr>
          <w:rFonts w:hint="eastAsia" w:ascii="仿宋_GB2312" w:eastAsia="仿宋_GB2312"/>
          <w:sz w:val="32"/>
          <w:szCs w:val="32"/>
        </w:rPr>
        <w:t>。</w:t>
      </w:r>
    </w:p>
    <w:p>
      <w:pPr>
        <w:adjustRightInd w:val="0"/>
        <w:snapToGrid w:val="0"/>
        <w:spacing w:line="600" w:lineRule="exact"/>
        <w:rPr>
          <w:rFonts w:ascii="楷体_GB2312" w:hAnsi="仿宋_GB2312" w:eastAsia="楷体_GB2312" w:cs="仿宋_GB2312"/>
          <w:bCs/>
          <w:sz w:val="32"/>
          <w:szCs w:val="32"/>
        </w:rPr>
      </w:pPr>
      <w:r>
        <w:rPr>
          <w:rFonts w:hint="eastAsia" w:ascii="楷体_GB2312" w:hAnsi="仿宋_GB2312" w:eastAsia="楷体_GB2312" w:cs="仿宋_GB2312"/>
          <w:bCs/>
          <w:sz w:val="32"/>
          <w:szCs w:val="32"/>
        </w:rPr>
        <w:t xml:space="preserve">   </w:t>
      </w:r>
      <w:r>
        <w:rPr>
          <w:rFonts w:hint="eastAsia" w:ascii="仿宋_GB2312" w:hAnsi="仿宋_GB2312" w:eastAsia="仿宋_GB2312" w:cs="仿宋_GB2312"/>
          <w:b/>
          <w:bCs/>
          <w:sz w:val="32"/>
          <w:szCs w:val="32"/>
        </w:rPr>
        <w:t xml:space="preserve"> 5.申报主体：</w:t>
      </w:r>
      <w:r>
        <w:rPr>
          <w:rFonts w:hint="eastAsia" w:ascii="仿宋_GB2312" w:hAnsi="仿宋_GB2312" w:eastAsia="仿宋_GB2312" w:cs="仿宋_GB2312"/>
          <w:sz w:val="32"/>
          <w:szCs w:val="32"/>
        </w:rPr>
        <w:t>由事业单位性质的科研机构牵头申报。</w:t>
      </w: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p>
    <w:p>
      <w:pPr>
        <w:adjustRightInd w:val="0"/>
        <w:snapToGrid w:val="0"/>
        <w:spacing w:line="600" w:lineRule="exact"/>
        <w:rPr>
          <w:rFonts w:ascii="楷体_GB2312" w:hAnsi="仿宋_GB2312" w:eastAsia="楷体_GB2312" w:cs="仿宋_GB2312"/>
          <w:bCs/>
          <w:sz w:val="32"/>
          <w:szCs w:val="32"/>
        </w:rPr>
      </w:pPr>
      <w:r>
        <w:rPr>
          <w:rFonts w:hint="eastAsia" w:ascii="楷体_GB2312" w:hAnsi="仿宋_GB2312" w:eastAsia="楷体_GB2312" w:cs="仿宋_GB2312"/>
          <w:bCs/>
          <w:sz w:val="32"/>
          <w:szCs w:val="32"/>
        </w:rPr>
        <w:t>新型化工与新材料领域-2</w:t>
      </w:r>
    </w:p>
    <w:p>
      <w:pPr>
        <w:adjustRightInd w:val="0"/>
        <w:snapToGrid w:val="0"/>
        <w:spacing w:line="600" w:lineRule="exact"/>
        <w:jc w:val="center"/>
        <w:rPr>
          <w:rFonts w:ascii="仿宋_GB2312" w:hAnsi="仿宋_GB2312" w:eastAsia="仿宋_GB2312" w:cs="仿宋_GB2312"/>
          <w:b/>
          <w:bCs/>
          <w:sz w:val="32"/>
          <w:szCs w:val="32"/>
        </w:rPr>
      </w:pPr>
    </w:p>
    <w:p>
      <w:pPr>
        <w:adjustRightInd w:val="0"/>
        <w:snapToGrid w:val="0"/>
        <w:spacing w:line="600" w:lineRule="exact"/>
        <w:jc w:val="center"/>
        <w:rPr>
          <w:rFonts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光伏坩埚用高纯石英国产化替代</w:t>
      </w:r>
    </w:p>
    <w:p>
      <w:pPr>
        <w:adjustRightInd w:val="0"/>
        <w:snapToGrid w:val="0"/>
        <w:spacing w:line="600" w:lineRule="exact"/>
        <w:jc w:val="center"/>
        <w:rPr>
          <w:rFonts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关键技术研究及工程示范</w:t>
      </w:r>
    </w:p>
    <w:p>
      <w:pPr>
        <w:adjustRightInd w:val="0"/>
        <w:snapToGrid w:val="0"/>
        <w:spacing w:line="600" w:lineRule="exact"/>
        <w:ind w:firstLine="642" w:firstLineChars="200"/>
        <w:rPr>
          <w:rFonts w:ascii="仿宋_GB2312" w:hAnsi="仿宋_GB2312" w:eastAsia="仿宋_GB2312" w:cs="仿宋_GB2312"/>
          <w:b/>
          <w:bCs/>
          <w:sz w:val="32"/>
          <w:szCs w:val="32"/>
        </w:rPr>
      </w:pPr>
    </w:p>
    <w:p>
      <w:pPr>
        <w:adjustRightInd w:val="0"/>
        <w:snapToGrid w:val="0"/>
        <w:spacing w:line="60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1.研究内容</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突破国产高纯石英资源微量杂质元素提纯难、资源综合利用率低、石英坩埚寿命低等瓶颈问题，开发基于国产资源的光伏坩埚用4N8级高纯石英砂深度提纯及综合利用关键技术。开展原料优选、提纯工艺、新型装备、系统集成等规模化、工程化技术研发，建成光伏坩埚用高纯石英砂深度提纯示范工程。研究基于国产高纯石英砂的坩埚制备工艺，开发针对国产资源的大尺寸、长寿命坩埚制备及性能评价技术。优选优质石英坩埚产品，研究单晶硅拉晶过程中杂质迁移、析晶失透规律，优化坩埚制备工艺。形成基于国产资源高纯石英的“快速筛选—提纯加工—坩埚制备—拉晶应用”成套技术体系，实现国产化替代。</w:t>
      </w:r>
    </w:p>
    <w:p>
      <w:pPr>
        <w:adjustRightInd w:val="0"/>
        <w:snapToGrid w:val="0"/>
        <w:spacing w:line="600"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2.考核指标</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（1）高纯石英砂产品SiO</w:t>
      </w:r>
      <w:r>
        <w:rPr>
          <w:rFonts w:hint="eastAsia" w:ascii="仿宋_GB2312" w:hAnsi="仿宋_GB2312" w:eastAsia="仿宋_GB2312" w:cs="仿宋_GB2312"/>
          <w:sz w:val="32"/>
          <w:szCs w:val="32"/>
          <w:vertAlign w:val="subscript"/>
        </w:rPr>
        <w:t>2</w:t>
      </w:r>
      <w:r>
        <w:rPr>
          <w:rFonts w:hint="eastAsia" w:ascii="仿宋_GB2312" w:hAnsi="仿宋_GB2312" w:eastAsia="仿宋_GB2312" w:cs="仿宋_GB2312"/>
          <w:sz w:val="32"/>
          <w:szCs w:val="32"/>
        </w:rPr>
        <w:t>纯度≥99.998%；Al＜15ppm，Ti＜4ppm，Li＜0.8ppm，Na＜0.8ppm，K＜0.5ppm；粒径在70μm-350μm 范围内,且在该粒径范围的累积质量分数不小于90%；产品总体性能接近国际先进水平，实现国产化替代。</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（2）熔制32英寸石英坩埚，使用寿命大于300h；以该坩埚产品拉制的单晶硅棒技术指标满足市场要求。</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（3）形成基于国产资源高纯石英深度提纯工艺1套、大尺寸长寿命石英坩埚制备工艺1套。</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（4）申请发明专利3项。</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（5）建成规模3000吨/年高纯石英砂产品工程示范生产线。</w:t>
      </w:r>
    </w:p>
    <w:p>
      <w:pPr>
        <w:adjustRightInd w:val="0"/>
        <w:snapToGrid w:val="0"/>
        <w:spacing w:line="60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3.实施周期：</w:t>
      </w:r>
      <w:r>
        <w:rPr>
          <w:rFonts w:hint="eastAsia" w:ascii="仿宋_GB2312" w:hAnsi="仿宋_GB2312" w:eastAsia="仿宋_GB2312" w:cs="仿宋_GB2312"/>
          <w:sz w:val="32"/>
          <w:szCs w:val="32"/>
        </w:rPr>
        <w:t>2年</w:t>
      </w:r>
    </w:p>
    <w:p>
      <w:pPr>
        <w:adjustRightInd w:val="0"/>
        <w:snapToGrid w:val="0"/>
        <w:spacing w:line="60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4.拟支持资金额度：</w:t>
      </w:r>
      <w:r>
        <w:rPr>
          <w:rFonts w:hint="eastAsia" w:ascii="仿宋_GB2312" w:hAnsi="仿宋" w:eastAsia="仿宋_GB2312" w:cs="仿宋"/>
          <w:sz w:val="32"/>
          <w:szCs w:val="32"/>
        </w:rPr>
        <w:t>预计财政专项资金投入1000万元，自筹不低于1000万元。</w:t>
      </w:r>
    </w:p>
    <w:p>
      <w:pPr>
        <w:adjustRightInd w:val="0"/>
        <w:snapToGrid w:val="0"/>
        <w:spacing w:line="600" w:lineRule="exact"/>
        <w:rPr>
          <w:rFonts w:ascii="仿宋_GB2312" w:hAnsi="仿宋" w:eastAsia="仿宋_GB2312" w:cs="仿宋"/>
          <w:sz w:val="32"/>
          <w:szCs w:val="32"/>
        </w:rPr>
      </w:pPr>
      <w:r>
        <w:rPr>
          <w:rFonts w:hint="eastAsia" w:ascii="仿宋_GB2312" w:hAnsi="仿宋" w:eastAsia="仿宋_GB2312" w:cs="仿宋"/>
          <w:sz w:val="32"/>
          <w:szCs w:val="32"/>
        </w:rPr>
        <w:t xml:space="preserve">   </w:t>
      </w:r>
      <w:r>
        <w:rPr>
          <w:rFonts w:hint="eastAsia" w:ascii="仿宋_GB2312" w:hAnsi="仿宋_GB2312" w:eastAsia="仿宋_GB2312" w:cs="仿宋_GB2312"/>
          <w:b/>
          <w:bCs/>
          <w:sz w:val="32"/>
          <w:szCs w:val="32"/>
        </w:rPr>
        <w:t xml:space="preserve"> 5.申报主体：</w:t>
      </w:r>
      <w:r>
        <w:rPr>
          <w:rFonts w:hint="eastAsia" w:ascii="仿宋_GB2312" w:hAnsi="仿宋" w:eastAsia="仿宋_GB2312" w:cs="仿宋"/>
          <w:sz w:val="32"/>
          <w:szCs w:val="32"/>
        </w:rPr>
        <w:t>由企业牵头申报。</w:t>
      </w:r>
    </w:p>
    <w:p>
      <w:pPr>
        <w:adjustRightInd w:val="0"/>
        <w:snapToGrid w:val="0"/>
        <w:spacing w:line="600" w:lineRule="exact"/>
        <w:rPr>
          <w:rFonts w:ascii="仿宋_GB2312" w:hAnsi="仿宋" w:eastAsia="仿宋_GB2312" w:cs="仿宋"/>
          <w:sz w:val="32"/>
          <w:szCs w:val="32"/>
        </w:rPr>
      </w:pPr>
    </w:p>
    <w:p>
      <w:pPr>
        <w:adjustRightInd w:val="0"/>
        <w:snapToGrid w:val="0"/>
        <w:spacing w:line="600" w:lineRule="exact"/>
        <w:rPr>
          <w:rFonts w:ascii="仿宋_GB2312" w:hAnsi="仿宋" w:eastAsia="仿宋_GB2312" w:cs="仿宋"/>
          <w:sz w:val="32"/>
          <w:szCs w:val="32"/>
        </w:rPr>
      </w:pPr>
    </w:p>
    <w:p>
      <w:pPr>
        <w:adjustRightInd w:val="0"/>
        <w:snapToGrid w:val="0"/>
        <w:spacing w:line="600" w:lineRule="exact"/>
        <w:rPr>
          <w:rFonts w:ascii="仿宋_GB2312" w:hAnsi="仿宋" w:eastAsia="仿宋_GB2312" w:cs="仿宋"/>
          <w:sz w:val="32"/>
          <w:szCs w:val="32"/>
        </w:rPr>
      </w:pPr>
    </w:p>
    <w:p>
      <w:pPr>
        <w:adjustRightInd w:val="0"/>
        <w:snapToGrid w:val="0"/>
        <w:spacing w:line="600" w:lineRule="exact"/>
        <w:rPr>
          <w:rFonts w:ascii="仿宋_GB2312" w:hAnsi="仿宋" w:eastAsia="仿宋_GB2312" w:cs="仿宋"/>
          <w:sz w:val="32"/>
          <w:szCs w:val="32"/>
        </w:rPr>
      </w:pPr>
    </w:p>
    <w:p>
      <w:pPr>
        <w:adjustRightInd w:val="0"/>
        <w:snapToGrid w:val="0"/>
        <w:spacing w:line="600" w:lineRule="exact"/>
        <w:rPr>
          <w:rFonts w:ascii="仿宋_GB2312" w:hAnsi="仿宋" w:eastAsia="仿宋_GB2312" w:cs="仿宋"/>
          <w:sz w:val="32"/>
          <w:szCs w:val="32"/>
        </w:rPr>
      </w:pPr>
    </w:p>
    <w:p>
      <w:pPr>
        <w:adjustRightInd w:val="0"/>
        <w:snapToGrid w:val="0"/>
        <w:spacing w:line="600" w:lineRule="exact"/>
        <w:rPr>
          <w:rFonts w:ascii="仿宋_GB2312" w:hAnsi="仿宋" w:eastAsia="仿宋_GB2312" w:cs="仿宋"/>
          <w:sz w:val="32"/>
          <w:szCs w:val="32"/>
        </w:rPr>
      </w:pPr>
    </w:p>
    <w:p>
      <w:pPr>
        <w:adjustRightInd w:val="0"/>
        <w:snapToGrid w:val="0"/>
        <w:spacing w:line="600" w:lineRule="exact"/>
        <w:rPr>
          <w:rFonts w:ascii="仿宋_GB2312" w:hAnsi="仿宋" w:eastAsia="仿宋_GB2312" w:cs="仿宋"/>
          <w:sz w:val="32"/>
          <w:szCs w:val="32"/>
        </w:rPr>
      </w:pPr>
    </w:p>
    <w:p>
      <w:pPr>
        <w:adjustRightInd w:val="0"/>
        <w:snapToGrid w:val="0"/>
        <w:spacing w:line="600" w:lineRule="exact"/>
        <w:rPr>
          <w:rFonts w:ascii="仿宋_GB2312" w:hAnsi="仿宋" w:eastAsia="仿宋_GB2312" w:cs="仿宋"/>
          <w:sz w:val="32"/>
          <w:szCs w:val="32"/>
        </w:rPr>
      </w:pPr>
    </w:p>
    <w:p>
      <w:pPr>
        <w:adjustRightInd w:val="0"/>
        <w:snapToGrid w:val="0"/>
        <w:spacing w:line="600" w:lineRule="exact"/>
        <w:rPr>
          <w:rFonts w:ascii="仿宋_GB2312" w:hAnsi="仿宋" w:eastAsia="仿宋_GB2312" w:cs="仿宋"/>
          <w:sz w:val="32"/>
          <w:szCs w:val="32"/>
        </w:rPr>
      </w:pPr>
    </w:p>
    <w:p>
      <w:pPr>
        <w:adjustRightInd w:val="0"/>
        <w:snapToGrid w:val="0"/>
        <w:spacing w:line="600" w:lineRule="exact"/>
        <w:rPr>
          <w:rFonts w:ascii="仿宋_GB2312" w:hAnsi="仿宋" w:eastAsia="仿宋_GB2312" w:cs="仿宋"/>
          <w:sz w:val="32"/>
          <w:szCs w:val="32"/>
        </w:rPr>
      </w:pPr>
    </w:p>
    <w:p>
      <w:pPr>
        <w:adjustRightInd w:val="0"/>
        <w:snapToGrid w:val="0"/>
        <w:spacing w:line="600" w:lineRule="exact"/>
        <w:rPr>
          <w:rFonts w:ascii="仿宋_GB2312" w:hAnsi="仿宋" w:eastAsia="仿宋_GB2312" w:cs="仿宋"/>
          <w:sz w:val="32"/>
          <w:szCs w:val="32"/>
        </w:rPr>
      </w:pPr>
    </w:p>
    <w:p>
      <w:pPr>
        <w:adjustRightInd w:val="0"/>
        <w:snapToGrid w:val="0"/>
        <w:spacing w:line="600" w:lineRule="exact"/>
        <w:rPr>
          <w:rFonts w:ascii="仿宋_GB2312" w:hAnsi="仿宋" w:eastAsia="仿宋_GB2312" w:cs="仿宋"/>
          <w:sz w:val="32"/>
          <w:szCs w:val="32"/>
        </w:rPr>
      </w:pPr>
    </w:p>
    <w:p>
      <w:pPr>
        <w:adjustRightInd w:val="0"/>
        <w:snapToGrid w:val="0"/>
        <w:spacing w:line="600" w:lineRule="exact"/>
        <w:rPr>
          <w:rFonts w:ascii="仿宋_GB2312" w:hAnsi="黑体" w:eastAsia="仿宋_GB2312" w:cs="黑体"/>
          <w:sz w:val="32"/>
          <w:szCs w:val="32"/>
        </w:rPr>
      </w:pPr>
      <w:r>
        <w:rPr>
          <w:rFonts w:hint="eastAsia" w:ascii="楷体_GB2312" w:hAnsi="仿宋_GB2312" w:eastAsia="楷体_GB2312" w:cs="仿宋_GB2312"/>
          <w:bCs/>
          <w:sz w:val="32"/>
          <w:szCs w:val="32"/>
        </w:rPr>
        <w:t>新型化工与新材料领域-3</w:t>
      </w:r>
    </w:p>
    <w:p>
      <w:pPr>
        <w:adjustRightInd w:val="0"/>
        <w:snapToGrid w:val="0"/>
        <w:spacing w:line="600" w:lineRule="exact"/>
        <w:jc w:val="center"/>
        <w:rPr>
          <w:rFonts w:ascii="仿宋_GB2312" w:hAnsi="仿宋" w:eastAsia="仿宋_GB2312" w:cs="仿宋_GB2312"/>
          <w:b/>
          <w:color w:val="000000"/>
          <w:sz w:val="44"/>
          <w:szCs w:val="44"/>
        </w:rPr>
      </w:pPr>
    </w:p>
    <w:p>
      <w:pPr>
        <w:adjustRightInd w:val="0"/>
        <w:snapToGrid w:val="0"/>
        <w:spacing w:line="600" w:lineRule="exact"/>
        <w:jc w:val="center"/>
        <w:rPr>
          <w:rFonts w:ascii="方正小标宋简体" w:hAnsi="仿宋" w:eastAsia="方正小标宋简体" w:cs="仿宋_GB2312"/>
          <w:color w:val="000000"/>
          <w:sz w:val="44"/>
          <w:szCs w:val="44"/>
        </w:rPr>
      </w:pPr>
      <w:r>
        <w:rPr>
          <w:rFonts w:hint="eastAsia" w:ascii="方正小标宋简体" w:hAnsi="仿宋" w:eastAsia="方正小标宋简体" w:cs="仿宋_GB2312"/>
          <w:color w:val="000000"/>
          <w:sz w:val="44"/>
          <w:szCs w:val="44"/>
        </w:rPr>
        <w:t>电阻率分布均匀的单晶硅制备关键</w:t>
      </w:r>
    </w:p>
    <w:p>
      <w:pPr>
        <w:adjustRightInd w:val="0"/>
        <w:snapToGrid w:val="0"/>
        <w:spacing w:line="600" w:lineRule="exact"/>
        <w:jc w:val="center"/>
        <w:rPr>
          <w:rFonts w:ascii="方正小标宋简体" w:hAnsi="仿宋" w:eastAsia="方正小标宋简体" w:cs="仿宋_GB2312"/>
          <w:color w:val="000000"/>
          <w:sz w:val="44"/>
          <w:szCs w:val="44"/>
        </w:rPr>
      </w:pPr>
      <w:r>
        <w:rPr>
          <w:rFonts w:hint="eastAsia" w:ascii="方正小标宋简体" w:hAnsi="仿宋" w:eastAsia="方正小标宋简体" w:cs="仿宋_GB2312"/>
          <w:color w:val="000000"/>
          <w:sz w:val="44"/>
          <w:szCs w:val="44"/>
        </w:rPr>
        <w:t>技术研发与产业化示范</w:t>
      </w:r>
    </w:p>
    <w:p>
      <w:pPr>
        <w:adjustRightInd w:val="0"/>
        <w:snapToGrid w:val="0"/>
        <w:spacing w:line="600" w:lineRule="exact"/>
        <w:ind w:firstLine="642" w:firstLineChars="200"/>
        <w:rPr>
          <w:rFonts w:ascii="仿宋_GB2312" w:hAnsi="仿宋_GB2312" w:eastAsia="仿宋_GB2312" w:cs="仿宋_GB2312"/>
          <w:b/>
          <w:bCs/>
          <w:kern w:val="0"/>
          <w:sz w:val="32"/>
          <w:szCs w:val="32"/>
        </w:rPr>
      </w:pPr>
    </w:p>
    <w:p>
      <w:pPr>
        <w:adjustRightInd w:val="0"/>
        <w:snapToGrid w:val="0"/>
        <w:spacing w:line="600" w:lineRule="exact"/>
        <w:ind w:firstLine="642"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1.研究内容</w:t>
      </w:r>
    </w:p>
    <w:p>
      <w:pPr>
        <w:adjustRightInd w:val="0"/>
        <w:snapToGrid w:val="0"/>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突破传统RCZ制备法纵向掺杂元素浓度不一致技术瓶颈，研发全新硅晶体工艺技术及全新硅片产品，实现硅单晶的电阻率均匀分布。开展等径可变低炉压、低真空度拉晶技术和掺杂剂浓度挥发控制技术研究，实现硅棒生长过程电阻率分布均匀，实施N型掺杂剂配比研究，开发新型掺杂工艺，探索掺杂原子对硅晶体内部结构与键合方式的优化机制，实现对常规N型磷掺杂剂的替代，推动单晶硅棒的规模化生产。开展硅片吸杂工艺研究，降低Fe杂质迁移活化能，提升硅片少子寿命，形成硅片系列新产品并规模化生产。</w:t>
      </w:r>
    </w:p>
    <w:p>
      <w:pPr>
        <w:adjustRightInd w:val="0"/>
        <w:snapToGrid w:val="0"/>
        <w:spacing w:line="600" w:lineRule="exact"/>
        <w:ind w:firstLine="642"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2.考核指标</w:t>
      </w:r>
    </w:p>
    <w:p>
      <w:pPr>
        <w:adjustRightInd w:val="0"/>
        <w:snapToGrid w:val="0"/>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（1）单根硅棒电阻率分布范围由3倍缩窄至1.5倍，同型号产品电阻率分布范围由4倍缩窄至2倍。</w:t>
      </w:r>
    </w:p>
    <w:p>
      <w:pPr>
        <w:adjustRightInd w:val="0"/>
        <w:snapToGrid w:val="0"/>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（2）形成电阻率分布均匀、替代常规N型磷掺杂剂并满足市场需求的单晶硅制备工艺1套，形成产品生产工艺包。</w:t>
      </w:r>
    </w:p>
    <w:p>
      <w:pPr>
        <w:adjustRightInd w:val="0"/>
        <w:snapToGrid w:val="0"/>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（3）系列新型N型硅片产业化规模≥20GW，比行业同产品少子寿命提升≥10%。</w:t>
      </w:r>
    </w:p>
    <w:p>
      <w:pPr>
        <w:adjustRightInd w:val="0"/>
        <w:snapToGrid w:val="0"/>
        <w:spacing w:line="600" w:lineRule="exact"/>
        <w:ind w:firstLine="640" w:firstLineChars="200"/>
        <w:rPr>
          <w:rFonts w:ascii="仿宋_GB2312" w:hAnsi="仿宋" w:eastAsia="仿宋_GB2312" w:cs="仿宋_GB2312"/>
          <w:color w:val="000000"/>
          <w:sz w:val="32"/>
          <w:szCs w:val="32"/>
        </w:rPr>
      </w:pPr>
      <w:r>
        <w:rPr>
          <w:rFonts w:hint="eastAsia" w:ascii="仿宋_GB2312" w:hAnsi="仿宋_GB2312" w:eastAsia="仿宋_GB2312" w:cs="仿宋_GB2312"/>
          <w:kern w:val="0"/>
          <w:sz w:val="32"/>
          <w:szCs w:val="32"/>
        </w:rPr>
        <w:t>（4）</w:t>
      </w:r>
      <w:r>
        <w:rPr>
          <w:rFonts w:hint="eastAsia" w:ascii="仿宋_GB2312" w:hAnsi="仿宋" w:eastAsia="仿宋_GB2312" w:cs="仿宋_GB2312"/>
          <w:color w:val="000000"/>
          <w:sz w:val="32"/>
          <w:szCs w:val="32"/>
        </w:rPr>
        <w:t>申请发明专利</w:t>
      </w:r>
      <w:r>
        <w:rPr>
          <w:rFonts w:ascii="仿宋_GB2312" w:hAnsi="仿宋" w:eastAsia="仿宋_GB2312" w:cs="仿宋_GB2312"/>
          <w:color w:val="000000"/>
          <w:sz w:val="32"/>
          <w:szCs w:val="32"/>
        </w:rPr>
        <w:t>2</w:t>
      </w:r>
      <w:r>
        <w:rPr>
          <w:rFonts w:hint="eastAsia" w:ascii="仿宋_GB2312" w:hAnsi="仿宋" w:eastAsia="仿宋_GB2312" w:cs="仿宋_GB2312"/>
          <w:color w:val="000000"/>
          <w:sz w:val="32"/>
          <w:szCs w:val="32"/>
        </w:rPr>
        <w:t>项。</w:t>
      </w:r>
    </w:p>
    <w:p>
      <w:pPr>
        <w:adjustRightInd w:val="0"/>
        <w:snapToGrid w:val="0"/>
        <w:spacing w:line="60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cs="仿宋_GB2312"/>
          <w:color w:val="000000"/>
          <w:sz w:val="32"/>
          <w:szCs w:val="32"/>
        </w:rPr>
        <w:t>（5）</w:t>
      </w:r>
      <w:r>
        <w:rPr>
          <w:rFonts w:hint="eastAsia" w:ascii="仿宋_GB2312" w:hAnsi="仿宋_GB2312" w:eastAsia="仿宋_GB2312" w:cs="仿宋_GB2312"/>
          <w:kern w:val="0"/>
          <w:sz w:val="32"/>
          <w:szCs w:val="32"/>
        </w:rPr>
        <w:t>建成拉晶产量20GW/年的产业化示范生产线1条。</w:t>
      </w:r>
    </w:p>
    <w:p>
      <w:pPr>
        <w:adjustRightInd w:val="0"/>
        <w:snapToGrid w:val="0"/>
        <w:spacing w:line="600" w:lineRule="exact"/>
        <w:ind w:firstLine="642"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3.拟实施期限：</w:t>
      </w:r>
      <w:r>
        <w:rPr>
          <w:rFonts w:hint="eastAsia" w:ascii="仿宋_GB2312" w:hAnsi="仿宋_GB2312" w:eastAsia="仿宋_GB2312" w:cs="仿宋_GB2312"/>
          <w:kern w:val="0"/>
          <w:sz w:val="32"/>
          <w:szCs w:val="32"/>
        </w:rPr>
        <w:t>2年</w:t>
      </w:r>
    </w:p>
    <w:p>
      <w:pPr>
        <w:adjustRightInd w:val="0"/>
        <w:snapToGrid w:val="0"/>
        <w:spacing w:line="600" w:lineRule="exact"/>
        <w:ind w:firstLine="642"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4.拟支持资金额度：</w:t>
      </w:r>
      <w:r>
        <w:rPr>
          <w:rFonts w:hint="eastAsia" w:ascii="仿宋_GB2312" w:hAnsi="仿宋" w:eastAsia="仿宋_GB2312" w:cs="仿宋"/>
          <w:sz w:val="32"/>
          <w:szCs w:val="32"/>
        </w:rPr>
        <w:t>预计财政专项资金投入1000万元，自筹不低于1000万元。</w:t>
      </w:r>
    </w:p>
    <w:p>
      <w:pPr>
        <w:adjustRightInd w:val="0"/>
        <w:snapToGrid w:val="0"/>
        <w:spacing w:line="60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5.申报主体：</w:t>
      </w:r>
      <w:r>
        <w:rPr>
          <w:rFonts w:hint="eastAsia" w:ascii="仿宋_GB2312" w:hAnsi="仿宋" w:eastAsia="仿宋_GB2312" w:cs="仿宋"/>
          <w:sz w:val="32"/>
          <w:szCs w:val="32"/>
        </w:rPr>
        <w:t>由企业牵头申报。</w:t>
      </w:r>
    </w:p>
    <w:p>
      <w:pPr>
        <w:adjustRightInd w:val="0"/>
        <w:snapToGrid w:val="0"/>
        <w:spacing w:line="600" w:lineRule="exact"/>
        <w:outlineLvl w:val="0"/>
        <w:rPr>
          <w:rFonts w:ascii="仿宋_GB2312" w:hAnsi="仿宋_GB2312" w:eastAsia="仿宋_GB2312" w:cs="仿宋_GB2312"/>
          <w:sz w:val="32"/>
          <w:szCs w:val="32"/>
        </w:rPr>
      </w:pPr>
      <w:bookmarkStart w:id="2" w:name="_Toc26987"/>
    </w:p>
    <w:p>
      <w:pPr>
        <w:adjustRightInd w:val="0"/>
        <w:snapToGrid w:val="0"/>
        <w:spacing w:line="600" w:lineRule="exact"/>
        <w:outlineLvl w:val="0"/>
        <w:rPr>
          <w:rFonts w:ascii="仿宋_GB2312" w:hAnsi="仿宋_GB2312" w:eastAsia="仿宋_GB2312" w:cs="仿宋_GB2312"/>
          <w:sz w:val="32"/>
          <w:szCs w:val="32"/>
        </w:rPr>
      </w:pPr>
    </w:p>
    <w:p>
      <w:pPr>
        <w:adjustRightInd w:val="0"/>
        <w:snapToGrid w:val="0"/>
        <w:spacing w:line="600" w:lineRule="exact"/>
        <w:rPr>
          <w:rFonts w:ascii="仿宋_GB2312" w:hAnsi="仿宋" w:eastAsia="仿宋_GB2312" w:cs="仿宋_GB2312"/>
          <w:b/>
          <w:color w:val="000000"/>
          <w:sz w:val="32"/>
          <w:szCs w:val="32"/>
        </w:rPr>
      </w:pPr>
    </w:p>
    <w:p>
      <w:pPr>
        <w:adjustRightInd w:val="0"/>
        <w:snapToGrid w:val="0"/>
        <w:spacing w:line="600" w:lineRule="exact"/>
        <w:rPr>
          <w:rFonts w:ascii="仿宋_GB2312" w:hAnsi="仿宋" w:eastAsia="仿宋_GB2312" w:cs="仿宋_GB2312"/>
          <w:b/>
          <w:color w:val="000000"/>
          <w:sz w:val="32"/>
          <w:szCs w:val="32"/>
        </w:rPr>
      </w:pPr>
    </w:p>
    <w:p>
      <w:pPr>
        <w:adjustRightInd w:val="0"/>
        <w:snapToGrid w:val="0"/>
        <w:spacing w:line="600" w:lineRule="exact"/>
        <w:rPr>
          <w:rFonts w:ascii="仿宋_GB2312" w:hAnsi="仿宋" w:eastAsia="仿宋_GB2312" w:cs="仿宋_GB2312"/>
          <w:b/>
          <w:color w:val="000000"/>
          <w:sz w:val="32"/>
          <w:szCs w:val="32"/>
        </w:rPr>
      </w:pPr>
    </w:p>
    <w:p>
      <w:pPr>
        <w:adjustRightInd w:val="0"/>
        <w:snapToGrid w:val="0"/>
        <w:spacing w:line="600" w:lineRule="exact"/>
        <w:rPr>
          <w:rFonts w:ascii="仿宋_GB2312" w:hAnsi="仿宋" w:eastAsia="仿宋_GB2312" w:cs="仿宋_GB2312"/>
          <w:b/>
          <w:color w:val="000000"/>
          <w:sz w:val="32"/>
          <w:szCs w:val="32"/>
        </w:rPr>
      </w:pPr>
    </w:p>
    <w:p>
      <w:pPr>
        <w:adjustRightInd w:val="0"/>
        <w:snapToGrid w:val="0"/>
        <w:spacing w:line="600" w:lineRule="exact"/>
        <w:rPr>
          <w:rFonts w:ascii="仿宋_GB2312" w:hAnsi="仿宋" w:eastAsia="仿宋_GB2312" w:cs="仿宋_GB2312"/>
          <w:b/>
          <w:color w:val="000000"/>
          <w:sz w:val="32"/>
          <w:szCs w:val="32"/>
        </w:rPr>
      </w:pPr>
    </w:p>
    <w:p>
      <w:pPr>
        <w:adjustRightInd w:val="0"/>
        <w:snapToGrid w:val="0"/>
        <w:spacing w:line="600" w:lineRule="exact"/>
        <w:rPr>
          <w:rFonts w:ascii="仿宋_GB2312" w:hAnsi="仿宋" w:eastAsia="仿宋_GB2312" w:cs="仿宋_GB2312"/>
          <w:b/>
          <w:color w:val="000000"/>
          <w:sz w:val="32"/>
          <w:szCs w:val="32"/>
        </w:rPr>
      </w:pPr>
    </w:p>
    <w:p>
      <w:pPr>
        <w:adjustRightInd w:val="0"/>
        <w:snapToGrid w:val="0"/>
        <w:spacing w:line="600" w:lineRule="exact"/>
        <w:rPr>
          <w:rFonts w:ascii="仿宋_GB2312" w:hAnsi="仿宋" w:eastAsia="仿宋_GB2312" w:cs="仿宋_GB2312"/>
          <w:b/>
          <w:color w:val="000000"/>
          <w:sz w:val="32"/>
          <w:szCs w:val="32"/>
        </w:rPr>
      </w:pPr>
    </w:p>
    <w:p>
      <w:pPr>
        <w:adjustRightInd w:val="0"/>
        <w:snapToGrid w:val="0"/>
        <w:spacing w:line="600" w:lineRule="exact"/>
        <w:rPr>
          <w:rFonts w:ascii="仿宋_GB2312" w:hAnsi="仿宋" w:eastAsia="仿宋_GB2312" w:cs="仿宋_GB2312"/>
          <w:b/>
          <w:color w:val="000000"/>
          <w:sz w:val="32"/>
          <w:szCs w:val="32"/>
        </w:rPr>
      </w:pPr>
    </w:p>
    <w:bookmarkEnd w:id="2"/>
    <w:p>
      <w:pPr>
        <w:adjustRightInd w:val="0"/>
        <w:snapToGrid w:val="0"/>
        <w:spacing w:line="600" w:lineRule="exact"/>
        <w:rPr>
          <w:rFonts w:ascii="楷体_GB2312" w:hAnsi="Times New Roman" w:eastAsia="楷体_GB2312"/>
          <w:bCs/>
          <w:sz w:val="32"/>
          <w:szCs w:val="32"/>
        </w:rPr>
      </w:pPr>
    </w:p>
    <w:p>
      <w:pPr>
        <w:adjustRightInd w:val="0"/>
        <w:snapToGrid w:val="0"/>
        <w:spacing w:line="600" w:lineRule="exact"/>
        <w:rPr>
          <w:rFonts w:ascii="楷体_GB2312" w:hAnsi="Times New Roman" w:eastAsia="楷体_GB2312"/>
          <w:bCs/>
          <w:sz w:val="32"/>
          <w:szCs w:val="32"/>
        </w:rPr>
      </w:pPr>
    </w:p>
    <w:p>
      <w:pPr>
        <w:adjustRightInd w:val="0"/>
        <w:snapToGrid w:val="0"/>
        <w:spacing w:line="600" w:lineRule="exact"/>
        <w:rPr>
          <w:rFonts w:ascii="楷体_GB2312" w:hAnsi="Times New Roman" w:eastAsia="楷体_GB2312"/>
          <w:bCs/>
          <w:sz w:val="32"/>
          <w:szCs w:val="32"/>
        </w:rPr>
      </w:pPr>
    </w:p>
    <w:p>
      <w:pPr>
        <w:adjustRightInd w:val="0"/>
        <w:snapToGrid w:val="0"/>
        <w:spacing w:line="600" w:lineRule="exact"/>
        <w:rPr>
          <w:rFonts w:ascii="楷体_GB2312" w:hAnsi="Times New Roman" w:eastAsia="楷体_GB2312"/>
          <w:bCs/>
          <w:sz w:val="32"/>
          <w:szCs w:val="32"/>
        </w:rPr>
      </w:pPr>
    </w:p>
    <w:p>
      <w:pPr>
        <w:adjustRightInd w:val="0"/>
        <w:snapToGrid w:val="0"/>
        <w:spacing w:line="600" w:lineRule="exact"/>
        <w:rPr>
          <w:rFonts w:ascii="楷体_GB2312" w:hAnsi="Times New Roman" w:eastAsia="楷体_GB2312"/>
          <w:bCs/>
          <w:sz w:val="32"/>
          <w:szCs w:val="32"/>
        </w:rPr>
      </w:pPr>
    </w:p>
    <w:p>
      <w:pPr>
        <w:adjustRightInd w:val="0"/>
        <w:snapToGrid w:val="0"/>
        <w:spacing w:line="600" w:lineRule="exact"/>
        <w:rPr>
          <w:rFonts w:ascii="楷体_GB2312" w:hAnsi="Times New Roman" w:eastAsia="楷体_GB2312"/>
          <w:bCs/>
          <w:sz w:val="32"/>
          <w:szCs w:val="32"/>
        </w:rPr>
      </w:pPr>
    </w:p>
    <w:p>
      <w:pPr>
        <w:adjustRightInd w:val="0"/>
        <w:snapToGrid w:val="0"/>
        <w:spacing w:line="600" w:lineRule="exact"/>
        <w:rPr>
          <w:rFonts w:ascii="楷体_GB2312" w:hAnsi="Times New Roman" w:eastAsia="楷体_GB2312"/>
          <w:bCs/>
          <w:sz w:val="32"/>
          <w:szCs w:val="32"/>
        </w:rPr>
      </w:pPr>
    </w:p>
    <w:p>
      <w:pPr>
        <w:adjustRightInd w:val="0"/>
        <w:snapToGrid w:val="0"/>
        <w:spacing w:line="600" w:lineRule="exact"/>
        <w:rPr>
          <w:rFonts w:ascii="楷体_GB2312" w:hAnsi="Times New Roman" w:eastAsia="楷体_GB2312"/>
          <w:bCs/>
          <w:sz w:val="32"/>
          <w:szCs w:val="32"/>
        </w:rPr>
      </w:pPr>
    </w:p>
    <w:p>
      <w:pPr>
        <w:adjustRightInd w:val="0"/>
        <w:snapToGrid w:val="0"/>
        <w:spacing w:line="600" w:lineRule="exact"/>
        <w:rPr>
          <w:rFonts w:ascii="楷体_GB2312" w:hAnsi="Times New Roman" w:eastAsia="楷体_GB2312"/>
          <w:sz w:val="32"/>
          <w:szCs w:val="32"/>
        </w:rPr>
      </w:pPr>
      <w:r>
        <w:rPr>
          <w:rFonts w:hint="eastAsia" w:ascii="楷体_GB2312" w:hAnsi="Times New Roman" w:eastAsia="楷体_GB2312"/>
          <w:sz w:val="32"/>
          <w:szCs w:val="32"/>
        </w:rPr>
        <w:t>氢能-1</w:t>
      </w:r>
    </w:p>
    <w:p>
      <w:pPr>
        <w:adjustRightInd w:val="0"/>
        <w:snapToGrid w:val="0"/>
        <w:spacing w:line="600" w:lineRule="exact"/>
        <w:jc w:val="center"/>
        <w:rPr>
          <w:rFonts w:ascii="黑体" w:hAnsi="黑体" w:eastAsia="黑体" w:cs="黑体"/>
          <w:spacing w:val="8"/>
          <w:sz w:val="44"/>
          <w:szCs w:val="44"/>
        </w:rPr>
      </w:pPr>
    </w:p>
    <w:p>
      <w:pPr>
        <w:adjustRightInd w:val="0"/>
        <w:snapToGrid w:val="0"/>
        <w:spacing w:line="600" w:lineRule="exact"/>
        <w:jc w:val="center"/>
        <w:rPr>
          <w:rFonts w:ascii="方正小标宋简体" w:hAnsi="黑体" w:eastAsia="方正小标宋简体" w:cs="黑体"/>
          <w:spacing w:val="8"/>
          <w:sz w:val="44"/>
          <w:szCs w:val="44"/>
        </w:rPr>
      </w:pPr>
      <w:r>
        <w:rPr>
          <w:rFonts w:hint="eastAsia" w:ascii="方正小标宋简体" w:hAnsi="黑体" w:eastAsia="方正小标宋简体" w:cs="黑体"/>
          <w:spacing w:val="8"/>
          <w:sz w:val="44"/>
          <w:szCs w:val="44"/>
        </w:rPr>
        <w:t>氢动力无人机与能源保障系统关键</w:t>
      </w:r>
    </w:p>
    <w:p>
      <w:pPr>
        <w:adjustRightInd w:val="0"/>
        <w:snapToGrid w:val="0"/>
        <w:spacing w:line="600" w:lineRule="exact"/>
        <w:jc w:val="center"/>
        <w:rPr>
          <w:rFonts w:ascii="黑体" w:hAnsi="黑体" w:eastAsia="黑体" w:cs="黑体"/>
          <w:sz w:val="44"/>
          <w:szCs w:val="44"/>
        </w:rPr>
      </w:pPr>
      <w:r>
        <w:rPr>
          <w:rFonts w:hint="eastAsia" w:ascii="方正小标宋简体" w:hAnsi="黑体" w:eastAsia="方正小标宋简体" w:cs="黑体"/>
          <w:spacing w:val="8"/>
          <w:sz w:val="44"/>
          <w:szCs w:val="44"/>
        </w:rPr>
        <w:t>技术研究及应用示范</w:t>
      </w:r>
    </w:p>
    <w:p>
      <w:pPr>
        <w:pStyle w:val="3"/>
        <w:widowControl w:val="0"/>
        <w:adjustRightInd w:val="0"/>
        <w:snapToGrid w:val="0"/>
        <w:spacing w:after="0" w:line="600" w:lineRule="exact"/>
        <w:ind w:right="13" w:firstLine="652" w:firstLineChars="200"/>
        <w:jc w:val="both"/>
        <w:rPr>
          <w:rFonts w:ascii="仿宋_GB2312" w:hAnsi="楷体" w:eastAsia="仿宋_GB2312" w:cs="楷体"/>
          <w:spacing w:val="3"/>
          <w:sz w:val="32"/>
          <w:szCs w:val="32"/>
        </w:rPr>
      </w:pPr>
    </w:p>
    <w:p>
      <w:pPr>
        <w:pStyle w:val="3"/>
        <w:widowControl w:val="0"/>
        <w:adjustRightInd w:val="0"/>
        <w:snapToGrid w:val="0"/>
        <w:spacing w:after="0" w:line="600" w:lineRule="exact"/>
        <w:ind w:right="13" w:firstLine="654" w:firstLineChars="200"/>
        <w:jc w:val="both"/>
        <w:rPr>
          <w:rFonts w:ascii="仿宋_GB2312" w:hAnsi="楷体" w:eastAsia="仿宋_GB2312" w:cs="楷体"/>
          <w:b/>
          <w:spacing w:val="3"/>
          <w:sz w:val="32"/>
          <w:szCs w:val="32"/>
        </w:rPr>
      </w:pPr>
      <w:r>
        <w:rPr>
          <w:rFonts w:hint="eastAsia" w:ascii="仿宋_GB2312" w:hAnsi="楷体" w:eastAsia="仿宋_GB2312" w:cs="楷体"/>
          <w:b/>
          <w:spacing w:val="3"/>
          <w:sz w:val="32"/>
          <w:szCs w:val="32"/>
        </w:rPr>
        <w:t>1.研究内容</w:t>
      </w:r>
    </w:p>
    <w:p>
      <w:pPr>
        <w:adjustRightInd w:val="0"/>
        <w:snapToGrid w:val="0"/>
        <w:spacing w:line="600" w:lineRule="exact"/>
        <w:ind w:firstLine="676" w:firstLineChars="200"/>
        <w:rPr>
          <w:rFonts w:ascii="仿宋_GB2312" w:eastAsia="仿宋_GB2312"/>
          <w:spacing w:val="9"/>
          <w:sz w:val="32"/>
          <w:szCs w:val="32"/>
        </w:rPr>
      </w:pPr>
      <w:r>
        <w:rPr>
          <w:rFonts w:hint="eastAsia" w:ascii="仿宋_GB2312" w:eastAsia="仿宋_GB2312"/>
          <w:spacing w:val="9"/>
          <w:sz w:val="32"/>
          <w:szCs w:val="32"/>
        </w:rPr>
        <w:t>研究氢动力无人机动力系统能源管理与动态功率分配技术，开发地面氢能“制-储-换”集成化能源保障系统。研究空冷氢燃料电池高效散热与热管理技术、低温冷启动技术、自增湿技术与膜电极优化技术，开发氢动力无人机动力系统，优化氢动力无人机构造。研究氢电混合动力适配关键技术和安全冗余设计技术，优化氢能无人机飞控系统。研制低能耗高温碱性水电解制氢系统、高安全性地面固态储氢系统、轻量化高压储氢系统，开发制储换一体化系统集成关键技术。研究氢动力无人机在鄂尔多斯矿区或城市场景应用技术及控制策略，开展氢动力无人机系统应用示范。</w:t>
      </w:r>
    </w:p>
    <w:p>
      <w:pPr>
        <w:adjustRightInd w:val="0"/>
        <w:snapToGrid w:val="0"/>
        <w:spacing w:line="600" w:lineRule="exact"/>
        <w:ind w:left="680"/>
        <w:rPr>
          <w:rFonts w:ascii="仿宋_GB2312" w:hAnsi="楷体" w:eastAsia="仿宋_GB2312" w:cs="楷体"/>
          <w:b/>
          <w:sz w:val="32"/>
          <w:szCs w:val="32"/>
        </w:rPr>
      </w:pPr>
      <w:r>
        <w:rPr>
          <w:rFonts w:hint="eastAsia" w:ascii="仿宋_GB2312" w:hAnsi="楷体" w:eastAsia="仿宋_GB2312" w:cs="楷体"/>
          <w:b/>
          <w:spacing w:val="4"/>
          <w:sz w:val="32"/>
          <w:szCs w:val="32"/>
        </w:rPr>
        <w:t>2.考核指标</w:t>
      </w:r>
    </w:p>
    <w:p>
      <w:pPr>
        <w:pStyle w:val="3"/>
        <w:widowControl w:val="0"/>
        <w:kinsoku w:val="0"/>
        <w:autoSpaceDE w:val="0"/>
        <w:autoSpaceDN w:val="0"/>
        <w:adjustRightInd w:val="0"/>
        <w:snapToGrid w:val="0"/>
        <w:spacing w:after="0" w:line="600" w:lineRule="exact"/>
        <w:ind w:right="13" w:firstLine="676" w:firstLineChars="200"/>
        <w:jc w:val="both"/>
        <w:textAlignment w:val="baseline"/>
        <w:rPr>
          <w:rFonts w:ascii="仿宋_GB2312" w:eastAsia="仿宋_GB2312"/>
          <w:spacing w:val="9"/>
          <w:sz w:val="32"/>
          <w:szCs w:val="32"/>
        </w:rPr>
      </w:pPr>
      <w:r>
        <w:rPr>
          <w:rFonts w:hint="eastAsia" w:ascii="仿宋_GB2312" w:eastAsia="仿宋_GB2312"/>
          <w:spacing w:val="9"/>
          <w:sz w:val="32"/>
          <w:szCs w:val="32"/>
        </w:rPr>
        <w:t>（1）氢动力无人机展开尺寸≤2000*2000*1520 ，最大上升速度4.5m/s 巡航速度 1-12m/s ，最大可承受风速12m/s（5级风），最大飞行海拔 3500m，高海拔条件下无人机燃料电池系统输出功率相较低海拔地区衰减不大于5%，悬停精度±1.5m/±0.7m;RTK位置精度1/1.5cm+1ppm，最远飞行距离120千米，最大有效荷载60千克，空载续航时间不低于3小时。</w:t>
      </w:r>
    </w:p>
    <w:p>
      <w:pPr>
        <w:pStyle w:val="3"/>
        <w:widowControl w:val="0"/>
        <w:kinsoku w:val="0"/>
        <w:autoSpaceDE w:val="0"/>
        <w:autoSpaceDN w:val="0"/>
        <w:adjustRightInd w:val="0"/>
        <w:snapToGrid w:val="0"/>
        <w:spacing w:after="0" w:line="600" w:lineRule="exact"/>
        <w:ind w:right="13" w:firstLine="676" w:firstLineChars="200"/>
        <w:jc w:val="both"/>
        <w:textAlignment w:val="baseline"/>
        <w:rPr>
          <w:rFonts w:ascii="仿宋_GB2312" w:eastAsia="仿宋_GB2312"/>
          <w:spacing w:val="9"/>
          <w:sz w:val="32"/>
          <w:szCs w:val="32"/>
        </w:rPr>
      </w:pPr>
      <w:r>
        <w:rPr>
          <w:rFonts w:hint="eastAsia" w:ascii="仿宋_GB2312" w:eastAsia="仿宋_GB2312"/>
          <w:spacing w:val="9"/>
          <w:sz w:val="32"/>
          <w:szCs w:val="32"/>
        </w:rPr>
        <w:t>（2）燃料电池系统零下40摄氏度无损存储，零下40摄氏度至零下三十摄氏度低温5分钟冷启动成功率不低于80%，零下三十度以上冷启动时间不高于3分钟。</w:t>
      </w:r>
    </w:p>
    <w:p>
      <w:pPr>
        <w:pStyle w:val="3"/>
        <w:widowControl w:val="0"/>
        <w:kinsoku w:val="0"/>
        <w:autoSpaceDE w:val="0"/>
        <w:autoSpaceDN w:val="0"/>
        <w:adjustRightInd w:val="0"/>
        <w:snapToGrid w:val="0"/>
        <w:spacing w:after="0" w:line="600" w:lineRule="exact"/>
        <w:ind w:right="13" w:firstLine="676" w:firstLineChars="200"/>
        <w:jc w:val="both"/>
        <w:textAlignment w:val="baseline"/>
        <w:rPr>
          <w:rFonts w:ascii="仿宋_GB2312" w:eastAsia="仿宋_GB2312"/>
          <w:spacing w:val="9"/>
          <w:sz w:val="32"/>
          <w:szCs w:val="32"/>
        </w:rPr>
      </w:pPr>
      <w:r>
        <w:rPr>
          <w:rFonts w:hint="eastAsia" w:ascii="仿宋_GB2312" w:eastAsia="仿宋_GB2312"/>
          <w:spacing w:val="9"/>
          <w:sz w:val="32"/>
          <w:szCs w:val="32"/>
        </w:rPr>
        <w:t>（3）地面能源保障系统，日制加注能力50千克氢气，稳定电力条件下制氢能耗不高于3.8KWh/Nm</w:t>
      </w:r>
      <w:r>
        <w:rPr>
          <w:rFonts w:hint="eastAsia" w:ascii="宋体" w:hAnsi="宋体" w:eastAsia="宋体" w:cs="宋体"/>
          <w:spacing w:val="9"/>
          <w:sz w:val="32"/>
          <w:szCs w:val="32"/>
        </w:rPr>
        <w:t>³</w:t>
      </w:r>
      <w:r>
        <w:rPr>
          <w:rFonts w:hint="eastAsia" w:ascii="仿宋_GB2312" w:hAnsi="仿宋_GB2312" w:eastAsia="仿宋_GB2312" w:cs="仿宋_GB2312"/>
          <w:spacing w:val="9"/>
          <w:sz w:val="32"/>
          <w:szCs w:val="32"/>
        </w:rPr>
        <w:t>，波动电力条件下制氢能耗不高于</w:t>
      </w:r>
      <w:r>
        <w:rPr>
          <w:rFonts w:hint="eastAsia" w:ascii="仿宋_GB2312" w:eastAsia="仿宋_GB2312"/>
          <w:spacing w:val="9"/>
          <w:sz w:val="32"/>
          <w:szCs w:val="32"/>
        </w:rPr>
        <w:t>4.0KWh/Nm</w:t>
      </w:r>
      <w:r>
        <w:rPr>
          <w:rFonts w:hint="eastAsia" w:ascii="宋体" w:hAnsi="宋体" w:eastAsia="宋体" w:cs="宋体"/>
          <w:spacing w:val="9"/>
          <w:sz w:val="32"/>
          <w:szCs w:val="32"/>
        </w:rPr>
        <w:t>³</w:t>
      </w:r>
      <w:r>
        <w:rPr>
          <w:rFonts w:hint="eastAsia" w:ascii="仿宋_GB2312" w:hAnsi="仿宋_GB2312" w:eastAsia="仿宋_GB2312" w:cs="仿宋_GB2312"/>
          <w:spacing w:val="9"/>
          <w:sz w:val="32"/>
          <w:szCs w:val="32"/>
        </w:rPr>
        <w:t>，固态储氢吸放氢能耗不高于</w:t>
      </w:r>
      <w:r>
        <w:rPr>
          <w:rFonts w:hint="eastAsia" w:ascii="仿宋_GB2312" w:eastAsia="仿宋_GB2312"/>
          <w:spacing w:val="9"/>
          <w:sz w:val="32"/>
          <w:szCs w:val="32"/>
        </w:rPr>
        <w:t>0.3KWH/Nm</w:t>
      </w:r>
      <w:r>
        <w:rPr>
          <w:rFonts w:hint="eastAsia" w:ascii="宋体" w:hAnsi="宋体" w:eastAsia="宋体" w:cs="宋体"/>
          <w:spacing w:val="9"/>
          <w:sz w:val="32"/>
          <w:szCs w:val="32"/>
        </w:rPr>
        <w:t>³</w:t>
      </w:r>
      <w:r>
        <w:rPr>
          <w:rFonts w:hint="eastAsia" w:ascii="仿宋_GB2312" w:hAnsi="仿宋_GB2312" w:eastAsia="仿宋_GB2312" w:cs="仿宋_GB2312"/>
          <w:spacing w:val="9"/>
          <w:sz w:val="32"/>
          <w:szCs w:val="32"/>
        </w:rPr>
        <w:t>，高压换氢能耗不高于</w:t>
      </w:r>
      <w:r>
        <w:rPr>
          <w:rFonts w:hint="eastAsia" w:ascii="仿宋_GB2312" w:eastAsia="仿宋_GB2312"/>
          <w:spacing w:val="9"/>
          <w:sz w:val="32"/>
          <w:szCs w:val="32"/>
        </w:rPr>
        <w:t>0.5KWh/Nm</w:t>
      </w:r>
      <w:r>
        <w:rPr>
          <w:rFonts w:hint="eastAsia" w:ascii="宋体" w:hAnsi="宋体" w:eastAsia="宋体" w:cs="宋体"/>
          <w:spacing w:val="9"/>
          <w:sz w:val="32"/>
          <w:szCs w:val="32"/>
        </w:rPr>
        <w:t>³</w:t>
      </w:r>
      <w:r>
        <w:rPr>
          <w:rFonts w:hint="eastAsia" w:ascii="仿宋_GB2312" w:hAnsi="仿宋_GB2312" w:eastAsia="仿宋_GB2312" w:cs="仿宋_GB2312"/>
          <w:spacing w:val="9"/>
          <w:sz w:val="32"/>
          <w:szCs w:val="32"/>
        </w:rPr>
        <w:t>，全系统能耗不高于</w:t>
      </w:r>
      <w:r>
        <w:rPr>
          <w:rFonts w:hint="eastAsia" w:ascii="仿宋_GB2312" w:eastAsia="仿宋_GB2312"/>
          <w:spacing w:val="9"/>
          <w:sz w:val="32"/>
          <w:szCs w:val="32"/>
        </w:rPr>
        <w:t>7.5KWh/Nm</w:t>
      </w:r>
      <w:r>
        <w:rPr>
          <w:rFonts w:hint="eastAsia" w:ascii="宋体" w:hAnsi="宋体" w:eastAsia="宋体" w:cs="宋体"/>
          <w:spacing w:val="9"/>
          <w:sz w:val="32"/>
          <w:szCs w:val="32"/>
        </w:rPr>
        <w:t>³</w:t>
      </w:r>
      <w:r>
        <w:rPr>
          <w:rFonts w:hint="eastAsia" w:ascii="仿宋_GB2312" w:hAnsi="仿宋_GB2312" w:eastAsia="仿宋_GB2312" w:cs="仿宋_GB2312"/>
          <w:spacing w:val="9"/>
          <w:sz w:val="32"/>
          <w:szCs w:val="32"/>
        </w:rPr>
        <w:t>；氢气加注系统实现无人机储氢模块不高于</w:t>
      </w:r>
      <w:r>
        <w:rPr>
          <w:rFonts w:hint="eastAsia" w:ascii="仿宋_GB2312" w:eastAsia="仿宋_GB2312"/>
          <w:spacing w:val="9"/>
          <w:sz w:val="32"/>
          <w:szCs w:val="32"/>
        </w:rPr>
        <w:t>3分钟</w:t>
      </w:r>
      <w:r>
        <w:rPr>
          <w:rFonts w:hint="eastAsia" w:ascii="仿宋_GB2312" w:hAnsi="仿宋_GB2312" w:eastAsia="仿宋_GB2312" w:cs="仿宋_GB2312"/>
          <w:spacing w:val="9"/>
          <w:sz w:val="32"/>
          <w:szCs w:val="32"/>
        </w:rPr>
        <w:t>的快速自动换装</w:t>
      </w:r>
      <w:r>
        <w:rPr>
          <w:rFonts w:hint="eastAsia" w:ascii="仿宋_GB2312" w:eastAsia="仿宋_GB2312"/>
          <w:spacing w:val="9"/>
          <w:sz w:val="32"/>
          <w:szCs w:val="32"/>
        </w:rPr>
        <w:t>。</w:t>
      </w:r>
    </w:p>
    <w:p>
      <w:pPr>
        <w:pStyle w:val="3"/>
        <w:widowControl w:val="0"/>
        <w:kinsoku w:val="0"/>
        <w:autoSpaceDE w:val="0"/>
        <w:autoSpaceDN w:val="0"/>
        <w:adjustRightInd w:val="0"/>
        <w:snapToGrid w:val="0"/>
        <w:spacing w:after="0" w:line="600" w:lineRule="exact"/>
        <w:ind w:right="13" w:firstLine="676" w:firstLineChars="200"/>
        <w:jc w:val="both"/>
        <w:textAlignment w:val="baseline"/>
        <w:rPr>
          <w:rFonts w:ascii="仿宋_GB2312" w:eastAsia="仿宋_GB2312"/>
          <w:spacing w:val="9"/>
          <w:sz w:val="32"/>
          <w:szCs w:val="32"/>
        </w:rPr>
      </w:pPr>
      <w:r>
        <w:rPr>
          <w:rFonts w:hint="eastAsia" w:ascii="仿宋_GB2312" w:eastAsia="仿宋_GB2312"/>
          <w:spacing w:val="9"/>
          <w:sz w:val="32"/>
          <w:szCs w:val="32"/>
        </w:rPr>
        <w:t>（4）申请发明专利4项。</w:t>
      </w:r>
    </w:p>
    <w:p>
      <w:pPr>
        <w:pStyle w:val="3"/>
        <w:widowControl w:val="0"/>
        <w:kinsoku w:val="0"/>
        <w:autoSpaceDE w:val="0"/>
        <w:autoSpaceDN w:val="0"/>
        <w:adjustRightInd w:val="0"/>
        <w:snapToGrid w:val="0"/>
        <w:spacing w:after="0" w:line="600" w:lineRule="exact"/>
        <w:ind w:right="13" w:firstLine="676" w:firstLineChars="200"/>
        <w:jc w:val="both"/>
        <w:textAlignment w:val="baseline"/>
        <w:rPr>
          <w:rFonts w:ascii="仿宋_GB2312" w:eastAsia="仿宋_GB2312"/>
          <w:spacing w:val="9"/>
          <w:sz w:val="32"/>
          <w:szCs w:val="32"/>
        </w:rPr>
      </w:pPr>
      <w:r>
        <w:rPr>
          <w:rFonts w:hint="eastAsia" w:ascii="仿宋_GB2312" w:eastAsia="仿宋_GB2312"/>
          <w:spacing w:val="9"/>
          <w:sz w:val="32"/>
          <w:szCs w:val="32"/>
        </w:rPr>
        <w:t>（5）在矿山巡检、新能源装备运维等领域在形成2处氢动力无人机应用示范。</w:t>
      </w:r>
    </w:p>
    <w:p>
      <w:pPr>
        <w:pStyle w:val="3"/>
        <w:widowControl w:val="0"/>
        <w:adjustRightInd w:val="0"/>
        <w:snapToGrid w:val="0"/>
        <w:spacing w:after="0" w:line="600" w:lineRule="exact"/>
        <w:ind w:left="692"/>
        <w:rPr>
          <w:rFonts w:ascii="仿宋_GB2312" w:eastAsia="仿宋_GB2312"/>
          <w:sz w:val="32"/>
          <w:szCs w:val="32"/>
        </w:rPr>
      </w:pPr>
      <w:r>
        <w:rPr>
          <w:rFonts w:hint="eastAsia" w:ascii="仿宋_GB2312" w:hAnsi="楷体" w:eastAsia="仿宋_GB2312" w:cs="楷体"/>
          <w:b/>
          <w:spacing w:val="-1"/>
          <w:sz w:val="32"/>
          <w:szCs w:val="32"/>
        </w:rPr>
        <w:t>3.实施周期</w:t>
      </w:r>
      <w:r>
        <w:rPr>
          <w:rFonts w:hint="eastAsia" w:ascii="仿宋_GB2312" w:hAnsi="楷体" w:eastAsia="仿宋_GB2312" w:cs="楷体"/>
          <w:b/>
          <w:spacing w:val="27"/>
          <w:sz w:val="32"/>
          <w:szCs w:val="32"/>
        </w:rPr>
        <w:t>：</w:t>
      </w:r>
      <w:r>
        <w:rPr>
          <w:rFonts w:hint="eastAsia" w:ascii="仿宋_GB2312" w:eastAsia="仿宋_GB2312"/>
          <w:spacing w:val="27"/>
          <w:sz w:val="32"/>
          <w:szCs w:val="32"/>
        </w:rPr>
        <w:t>3</w:t>
      </w:r>
      <w:r>
        <w:rPr>
          <w:rFonts w:hint="eastAsia" w:ascii="仿宋_GB2312" w:eastAsia="仿宋_GB2312"/>
          <w:spacing w:val="-1"/>
          <w:sz w:val="32"/>
          <w:szCs w:val="32"/>
        </w:rPr>
        <w:t>年</w:t>
      </w:r>
    </w:p>
    <w:p>
      <w:pPr>
        <w:pStyle w:val="3"/>
        <w:widowControl w:val="0"/>
        <w:adjustRightInd w:val="0"/>
        <w:snapToGrid w:val="0"/>
        <w:spacing w:after="0" w:line="600" w:lineRule="exact"/>
        <w:ind w:firstLine="654" w:firstLineChars="200"/>
        <w:rPr>
          <w:rFonts w:ascii="仿宋_GB2312" w:eastAsia="仿宋_GB2312"/>
          <w:sz w:val="32"/>
          <w:szCs w:val="32"/>
        </w:rPr>
      </w:pPr>
      <w:r>
        <w:rPr>
          <w:rFonts w:hint="eastAsia" w:ascii="仿宋_GB2312" w:hAnsi="楷体" w:eastAsia="仿宋_GB2312" w:cs="楷体"/>
          <w:b/>
          <w:spacing w:val="3"/>
          <w:sz w:val="32"/>
          <w:szCs w:val="32"/>
        </w:rPr>
        <w:t>4.拟支持资金额度</w:t>
      </w:r>
      <w:r>
        <w:rPr>
          <w:rFonts w:hint="eastAsia" w:ascii="仿宋_GB2312" w:hAnsi="楷体" w:eastAsia="仿宋_GB2312" w:cs="楷体"/>
          <w:b/>
          <w:spacing w:val="23"/>
          <w:sz w:val="32"/>
          <w:szCs w:val="32"/>
        </w:rPr>
        <w:t>：</w:t>
      </w:r>
      <w:r>
        <w:rPr>
          <w:rFonts w:hint="eastAsia" w:ascii="仿宋_GB2312" w:hAnsi="仿宋" w:eastAsia="仿宋_GB2312" w:cs="仿宋"/>
          <w:sz w:val="32"/>
          <w:szCs w:val="32"/>
        </w:rPr>
        <w:t>预计财政专项资金投入1000万元，自筹不低于1000万元。</w:t>
      </w:r>
    </w:p>
    <w:p>
      <w:pPr>
        <w:adjustRightInd w:val="0"/>
        <w:snapToGrid w:val="0"/>
        <w:spacing w:line="600" w:lineRule="exact"/>
        <w:rPr>
          <w:rFonts w:ascii="楷体_GB2312" w:hAnsi="Times New Roman" w:eastAsia="楷体_GB2312"/>
          <w:sz w:val="32"/>
          <w:szCs w:val="32"/>
        </w:rPr>
      </w:pPr>
      <w:r>
        <w:rPr>
          <w:rFonts w:hint="eastAsia" w:ascii="楷体_GB2312" w:hAnsi="Times New Roman" w:eastAsia="楷体_GB2312"/>
          <w:sz w:val="32"/>
          <w:szCs w:val="32"/>
        </w:rPr>
        <w:t xml:space="preserve">  </w:t>
      </w:r>
      <w:r>
        <w:rPr>
          <w:rFonts w:hint="eastAsia" w:ascii="仿宋_GB2312" w:hAnsi="仿宋" w:eastAsia="仿宋_GB2312" w:cs="仿宋"/>
          <w:kern w:val="0"/>
          <w:sz w:val="32"/>
          <w:szCs w:val="32"/>
        </w:rPr>
        <w:t xml:space="preserve">  </w:t>
      </w:r>
      <w:r>
        <w:rPr>
          <w:rFonts w:hint="eastAsia" w:ascii="仿宋_GB2312" w:hAnsi="仿宋" w:eastAsia="仿宋_GB2312" w:cs="仿宋"/>
          <w:b/>
          <w:kern w:val="0"/>
          <w:sz w:val="32"/>
          <w:szCs w:val="32"/>
        </w:rPr>
        <w:t>5.申报主体：</w:t>
      </w:r>
      <w:r>
        <w:rPr>
          <w:rFonts w:hint="eastAsia" w:ascii="仿宋_GB2312" w:hAnsi="仿宋" w:eastAsia="仿宋_GB2312" w:cs="仿宋"/>
          <w:kern w:val="0"/>
          <w:sz w:val="32"/>
          <w:szCs w:val="32"/>
        </w:rPr>
        <w:t>由企业牵头申报。</w:t>
      </w:r>
    </w:p>
    <w:p>
      <w:pPr>
        <w:adjustRightInd w:val="0"/>
        <w:snapToGrid w:val="0"/>
        <w:spacing w:line="600" w:lineRule="exact"/>
        <w:rPr>
          <w:rFonts w:ascii="楷体_GB2312" w:hAnsi="Times New Roman" w:eastAsia="楷体_GB2312"/>
          <w:sz w:val="32"/>
          <w:szCs w:val="32"/>
        </w:rPr>
      </w:pPr>
    </w:p>
    <w:p>
      <w:pPr>
        <w:adjustRightInd w:val="0"/>
        <w:snapToGrid w:val="0"/>
        <w:spacing w:line="600" w:lineRule="exact"/>
        <w:rPr>
          <w:rFonts w:ascii="楷体_GB2312" w:hAnsi="Times New Roman" w:eastAsia="楷体_GB2312"/>
          <w:sz w:val="32"/>
          <w:szCs w:val="32"/>
        </w:rPr>
      </w:pPr>
    </w:p>
    <w:p>
      <w:pPr>
        <w:adjustRightInd w:val="0"/>
        <w:snapToGrid w:val="0"/>
        <w:spacing w:line="600" w:lineRule="exact"/>
        <w:rPr>
          <w:rFonts w:ascii="楷体_GB2312" w:hAnsi="Times New Roman" w:eastAsia="楷体_GB2312"/>
          <w:sz w:val="32"/>
          <w:szCs w:val="32"/>
        </w:rPr>
      </w:pPr>
    </w:p>
    <w:p>
      <w:pPr>
        <w:adjustRightInd w:val="0"/>
        <w:snapToGrid w:val="0"/>
        <w:spacing w:line="600" w:lineRule="exact"/>
        <w:rPr>
          <w:rFonts w:ascii="楷体_GB2312" w:hAnsi="Times New Roman" w:eastAsia="楷体_GB2312"/>
          <w:sz w:val="32"/>
          <w:szCs w:val="32"/>
        </w:rPr>
      </w:pPr>
    </w:p>
    <w:p>
      <w:pPr>
        <w:adjustRightInd w:val="0"/>
        <w:snapToGrid w:val="0"/>
        <w:spacing w:line="600" w:lineRule="exact"/>
        <w:rPr>
          <w:rFonts w:ascii="楷体_GB2312" w:hAnsi="Times New Roman" w:eastAsia="楷体_GB2312"/>
          <w:sz w:val="32"/>
          <w:szCs w:val="32"/>
        </w:rPr>
      </w:pPr>
    </w:p>
    <w:p>
      <w:pPr>
        <w:adjustRightInd w:val="0"/>
        <w:snapToGrid w:val="0"/>
        <w:spacing w:line="600" w:lineRule="exact"/>
        <w:rPr>
          <w:rFonts w:ascii="楷体_GB2312" w:hAnsi="Times New Roman" w:eastAsia="楷体_GB2312"/>
          <w:sz w:val="32"/>
          <w:szCs w:val="32"/>
        </w:rPr>
      </w:pPr>
      <w:r>
        <w:rPr>
          <w:rFonts w:hint="eastAsia" w:ascii="楷体_GB2312" w:hAnsi="Times New Roman" w:eastAsia="楷体_GB2312"/>
          <w:sz w:val="32"/>
          <w:szCs w:val="32"/>
        </w:rPr>
        <w:t>氢能-2</w:t>
      </w:r>
    </w:p>
    <w:p>
      <w:pPr>
        <w:adjustRightInd w:val="0"/>
        <w:snapToGrid w:val="0"/>
        <w:spacing w:line="600" w:lineRule="exact"/>
        <w:rPr>
          <w:rFonts w:ascii="Times New Roman" w:hAnsi="Times New Roman" w:eastAsia="楷体_GB2312"/>
          <w:sz w:val="32"/>
          <w:szCs w:val="32"/>
        </w:rPr>
      </w:pPr>
    </w:p>
    <w:p>
      <w:pPr>
        <w:adjustRightInd w:val="0"/>
        <w:snapToGrid w:val="0"/>
        <w:spacing w:line="600" w:lineRule="exact"/>
        <w:jc w:val="center"/>
        <w:rPr>
          <w:rFonts w:ascii="方正小标宋简体" w:hAnsi="Times New Roman" w:eastAsia="方正小标宋简体"/>
          <w:bCs/>
          <w:sz w:val="44"/>
          <w:szCs w:val="44"/>
        </w:rPr>
      </w:pPr>
      <w:r>
        <w:rPr>
          <w:rFonts w:hint="eastAsia" w:ascii="方正小标宋简体" w:hAnsi="Times New Roman" w:eastAsia="方正小标宋简体"/>
          <w:bCs/>
          <w:sz w:val="44"/>
          <w:szCs w:val="44"/>
        </w:rPr>
        <w:t>高安全规模化固态储氢/加注系统</w:t>
      </w:r>
    </w:p>
    <w:p>
      <w:pPr>
        <w:adjustRightInd w:val="0"/>
        <w:snapToGrid w:val="0"/>
        <w:spacing w:line="600" w:lineRule="exact"/>
        <w:jc w:val="center"/>
        <w:rPr>
          <w:rFonts w:ascii="方正小标宋简体" w:hAnsi="Times New Roman" w:eastAsia="方正小标宋简体"/>
          <w:bCs/>
          <w:sz w:val="44"/>
          <w:szCs w:val="44"/>
        </w:rPr>
      </w:pPr>
      <w:r>
        <w:rPr>
          <w:rFonts w:hint="eastAsia" w:ascii="方正小标宋简体" w:hAnsi="Times New Roman" w:eastAsia="方正小标宋简体"/>
          <w:bCs/>
          <w:sz w:val="44"/>
          <w:szCs w:val="44"/>
        </w:rPr>
        <w:t>技术研究与应用</w:t>
      </w:r>
    </w:p>
    <w:p>
      <w:pPr>
        <w:adjustRightInd w:val="0"/>
        <w:snapToGrid w:val="0"/>
        <w:spacing w:line="600" w:lineRule="exact"/>
        <w:ind w:firstLine="640" w:firstLineChars="200"/>
        <w:rPr>
          <w:sz w:val="32"/>
          <w:szCs w:val="32"/>
        </w:rPr>
      </w:pPr>
    </w:p>
    <w:p>
      <w:pPr>
        <w:adjustRightInd w:val="0"/>
        <w:snapToGrid w:val="0"/>
        <w:spacing w:line="600" w:lineRule="exact"/>
        <w:ind w:firstLine="642" w:firstLineChars="200"/>
        <w:rPr>
          <w:rFonts w:ascii="仿宋_GB2312" w:eastAsia="仿宋_GB2312"/>
          <w:b/>
          <w:sz w:val="32"/>
          <w:szCs w:val="32"/>
        </w:rPr>
      </w:pPr>
      <w:r>
        <w:rPr>
          <w:rFonts w:hint="eastAsia" w:ascii="仿宋_GB2312" w:eastAsia="仿宋_GB2312"/>
          <w:b/>
          <w:sz w:val="32"/>
          <w:szCs w:val="32"/>
        </w:rPr>
        <w:t>1.研究内容</w:t>
      </w:r>
    </w:p>
    <w:p>
      <w:pPr>
        <w:adjustRightInd w:val="0"/>
        <w:snapToGrid w:val="0"/>
        <w:spacing w:line="60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开发低成本、高容量低应力钛基储氢合金材料，研究其吸放氢应力调控机理和热力学、动力学性能，通过合金元素协同替代合金化、材料复合，引入高效催化剂等方法将储氢容量提高至2.0 wt%并改善放氢动力学性能，实现高容量、长寿命储氢合金的稳定批量制备。设计开发全新固态储氢加注系统，应用钛基储氢合金材料和系统集成技术，提升储氢系统的质量储氢密度。研究固态储氢装置与合金吸放氢应力耦合规律，开发高安全规模化固态储氢加注系统并示范应用。</w:t>
      </w:r>
    </w:p>
    <w:p>
      <w:pPr>
        <w:tabs>
          <w:tab w:val="left" w:pos="312"/>
        </w:tabs>
        <w:adjustRightInd w:val="0"/>
        <w:snapToGrid w:val="0"/>
        <w:spacing w:line="600" w:lineRule="exact"/>
        <w:ind w:firstLine="642" w:firstLineChars="200"/>
        <w:rPr>
          <w:rFonts w:ascii="仿宋_GB2312" w:hAnsi="Times New Roman" w:eastAsia="仿宋_GB2312"/>
          <w:b/>
          <w:sz w:val="32"/>
          <w:szCs w:val="32"/>
        </w:rPr>
      </w:pPr>
      <w:r>
        <w:rPr>
          <w:rFonts w:hint="eastAsia" w:ascii="仿宋_GB2312" w:hAnsi="Times New Roman" w:eastAsia="仿宋_GB2312"/>
          <w:b/>
          <w:sz w:val="32"/>
          <w:szCs w:val="32"/>
        </w:rPr>
        <w:t>2.考核指标</w:t>
      </w:r>
    </w:p>
    <w:p>
      <w:pPr>
        <w:adjustRightInd w:val="0"/>
        <w:snapToGrid w:val="0"/>
        <w:spacing w:line="60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（1）钛基储氢材料质量储氢密度≥2.0 wt%；45 ℃平台压力1.3-1.8 MPa；合金完全活化后，45 ℃条件下，3 MPa氢压吸氢达到90%最大储氢量时间≤5min，1bar背压脱氢达到80%最大储氢量时间≤8 min；1000周吸放氢循环的容量保持率≥80%，吸放氢速率衰减≤10%。</w:t>
      </w:r>
    </w:p>
    <w:p>
      <w:pPr>
        <w:adjustRightInd w:val="0"/>
        <w:snapToGrid w:val="0"/>
        <w:spacing w:line="60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（2）固态储氢/加注系统储氢密度≥50 kg/m</w:t>
      </w:r>
      <w:r>
        <w:rPr>
          <w:rFonts w:hint="eastAsia" w:ascii="仿宋_GB2312" w:hAnsi="Times New Roman" w:eastAsia="仿宋_GB2312"/>
          <w:sz w:val="32"/>
          <w:szCs w:val="32"/>
          <w:vertAlign w:val="superscript"/>
        </w:rPr>
        <w:t>3</w:t>
      </w:r>
      <w:r>
        <w:rPr>
          <w:rFonts w:hint="eastAsia" w:ascii="仿宋_GB2312" w:hAnsi="Times New Roman" w:eastAsia="仿宋_GB2312"/>
          <w:sz w:val="32"/>
          <w:szCs w:val="32"/>
        </w:rPr>
        <w:t>，放氢速率≥50 Nm</w:t>
      </w:r>
      <w:r>
        <w:rPr>
          <w:rFonts w:hint="eastAsia" w:ascii="仿宋_GB2312" w:hAnsi="Times New Roman" w:eastAsia="仿宋_GB2312"/>
          <w:sz w:val="32"/>
          <w:szCs w:val="32"/>
          <w:vertAlign w:val="superscript"/>
        </w:rPr>
        <w:t>3</w:t>
      </w:r>
      <w:r>
        <w:rPr>
          <w:rFonts w:hint="eastAsia" w:ascii="仿宋_GB2312" w:hAnsi="Times New Roman" w:eastAsia="仿宋_GB2312"/>
          <w:sz w:val="32"/>
          <w:szCs w:val="32"/>
        </w:rPr>
        <w:t>/min，储氢容量≥800 kg；充氢压力2-4 MPa可调，0.2MPa≤放氢压力≤3.0 MPa，能量转化效率≥80%；低压加注压力为3 MPa，高压加注压力为45 MPa。</w:t>
      </w:r>
    </w:p>
    <w:p>
      <w:pPr>
        <w:adjustRightInd w:val="0"/>
        <w:snapToGrid w:val="0"/>
        <w:spacing w:line="60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（3）申请发明专利4项。</w:t>
      </w:r>
    </w:p>
    <w:p>
      <w:pPr>
        <w:adjustRightInd w:val="0"/>
        <w:snapToGrid w:val="0"/>
        <w:spacing w:line="60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（4）建设高安全规模化固态加氢站1个。</w:t>
      </w:r>
    </w:p>
    <w:p>
      <w:pPr>
        <w:adjustRightInd w:val="0"/>
        <w:snapToGrid w:val="0"/>
        <w:spacing w:line="600" w:lineRule="exact"/>
        <w:ind w:firstLine="642" w:firstLineChars="200"/>
        <w:rPr>
          <w:rFonts w:ascii="仿宋_GB2312" w:hAnsi="Times New Roman" w:eastAsia="仿宋_GB2312"/>
          <w:sz w:val="32"/>
          <w:szCs w:val="32"/>
        </w:rPr>
      </w:pPr>
      <w:r>
        <w:rPr>
          <w:rFonts w:hint="eastAsia" w:ascii="仿宋_GB2312" w:hAnsi="Times New Roman" w:eastAsia="仿宋_GB2312"/>
          <w:b/>
          <w:sz w:val="32"/>
          <w:szCs w:val="32"/>
        </w:rPr>
        <w:t>3.实施周期：</w:t>
      </w:r>
      <w:r>
        <w:rPr>
          <w:rFonts w:hint="eastAsia" w:ascii="仿宋_GB2312" w:hAnsi="Times New Roman" w:eastAsia="仿宋_GB2312"/>
          <w:sz w:val="32"/>
          <w:szCs w:val="32"/>
        </w:rPr>
        <w:t>3年</w:t>
      </w:r>
    </w:p>
    <w:p>
      <w:pPr>
        <w:adjustRightInd w:val="0"/>
        <w:snapToGrid w:val="0"/>
        <w:spacing w:line="600" w:lineRule="exact"/>
        <w:ind w:firstLine="642" w:firstLineChars="200"/>
        <w:rPr>
          <w:rFonts w:ascii="仿宋_GB2312" w:hAnsi="Times New Roman" w:eastAsia="仿宋_GB2312"/>
          <w:sz w:val="32"/>
          <w:szCs w:val="32"/>
        </w:rPr>
      </w:pPr>
      <w:r>
        <w:rPr>
          <w:rFonts w:hint="eastAsia" w:ascii="仿宋_GB2312" w:hAnsi="Times New Roman" w:eastAsia="仿宋_GB2312"/>
          <w:b/>
          <w:sz w:val="32"/>
          <w:szCs w:val="32"/>
        </w:rPr>
        <w:t>4.拟支持资金额度：</w:t>
      </w:r>
      <w:r>
        <w:rPr>
          <w:rFonts w:hint="eastAsia" w:ascii="仿宋_GB2312" w:hAnsi="仿宋" w:eastAsia="仿宋_GB2312" w:cs="仿宋"/>
          <w:sz w:val="32"/>
          <w:szCs w:val="32"/>
        </w:rPr>
        <w:t>预计财政专项资金投入1000万元，自筹不低于1000万元。</w:t>
      </w:r>
    </w:p>
    <w:p>
      <w:pPr>
        <w:adjustRightInd w:val="0"/>
        <w:snapToGrid w:val="0"/>
        <w:spacing w:line="600" w:lineRule="exact"/>
        <w:ind w:firstLine="642" w:firstLineChars="200"/>
        <w:rPr>
          <w:rFonts w:ascii="Times New Roman" w:hAnsi="Times New Roman" w:eastAsia="黑体"/>
          <w:bCs/>
          <w:sz w:val="32"/>
          <w:szCs w:val="32"/>
        </w:rPr>
      </w:pPr>
      <w:r>
        <w:rPr>
          <w:rFonts w:hint="eastAsia" w:ascii="仿宋_GB2312" w:hAnsi="Times New Roman" w:eastAsia="仿宋_GB2312"/>
          <w:b/>
          <w:sz w:val="32"/>
          <w:szCs w:val="32"/>
        </w:rPr>
        <w:t>5.申报主体：</w:t>
      </w:r>
      <w:r>
        <w:rPr>
          <w:rFonts w:hint="eastAsia" w:ascii="仿宋_GB2312" w:hAnsi="仿宋" w:eastAsia="仿宋_GB2312" w:cs="仿宋"/>
          <w:sz w:val="32"/>
          <w:szCs w:val="32"/>
        </w:rPr>
        <w:t>由企业牵头申报。</w:t>
      </w:r>
    </w:p>
    <w:p>
      <w:pPr>
        <w:adjustRightInd w:val="0"/>
        <w:snapToGrid w:val="0"/>
        <w:spacing w:line="600" w:lineRule="exact"/>
        <w:ind w:firstLine="640" w:firstLineChars="200"/>
        <w:rPr>
          <w:rFonts w:ascii="Times New Roman" w:hAnsi="Times New Roman" w:eastAsia="黑体"/>
          <w:bCs/>
          <w:sz w:val="32"/>
          <w:szCs w:val="32"/>
        </w:rPr>
      </w:pPr>
    </w:p>
    <w:p>
      <w:pPr>
        <w:adjustRightInd w:val="0"/>
        <w:snapToGrid w:val="0"/>
        <w:spacing w:line="600" w:lineRule="exact"/>
        <w:ind w:firstLine="640" w:firstLineChars="200"/>
        <w:rPr>
          <w:rFonts w:ascii="Times New Roman" w:hAnsi="Times New Roman" w:eastAsia="黑体"/>
          <w:bCs/>
          <w:sz w:val="32"/>
          <w:szCs w:val="32"/>
        </w:rPr>
      </w:pPr>
    </w:p>
    <w:p>
      <w:pPr>
        <w:adjustRightInd w:val="0"/>
        <w:snapToGrid w:val="0"/>
        <w:spacing w:line="600" w:lineRule="exact"/>
        <w:ind w:firstLine="640" w:firstLineChars="200"/>
        <w:rPr>
          <w:rFonts w:ascii="Times New Roman" w:hAnsi="Times New Roman" w:eastAsia="黑体"/>
          <w:bCs/>
          <w:sz w:val="32"/>
          <w:szCs w:val="32"/>
        </w:rPr>
      </w:pPr>
    </w:p>
    <w:p>
      <w:pPr>
        <w:adjustRightInd w:val="0"/>
        <w:snapToGrid w:val="0"/>
        <w:spacing w:line="600" w:lineRule="exact"/>
        <w:ind w:firstLine="640" w:firstLineChars="200"/>
        <w:rPr>
          <w:rFonts w:ascii="Times New Roman" w:hAnsi="Times New Roman" w:eastAsia="黑体"/>
          <w:bCs/>
          <w:sz w:val="32"/>
          <w:szCs w:val="32"/>
        </w:rPr>
      </w:pPr>
    </w:p>
    <w:p>
      <w:pPr>
        <w:adjustRightInd w:val="0"/>
        <w:snapToGrid w:val="0"/>
        <w:spacing w:line="600" w:lineRule="exact"/>
        <w:ind w:firstLine="640" w:firstLineChars="200"/>
        <w:rPr>
          <w:rFonts w:ascii="Times New Roman" w:hAnsi="Times New Roman" w:eastAsia="黑体"/>
          <w:bCs/>
          <w:sz w:val="32"/>
          <w:szCs w:val="32"/>
        </w:rPr>
      </w:pPr>
    </w:p>
    <w:p>
      <w:pPr>
        <w:adjustRightInd w:val="0"/>
        <w:snapToGrid w:val="0"/>
        <w:spacing w:line="600" w:lineRule="exact"/>
        <w:ind w:firstLine="640" w:firstLineChars="200"/>
        <w:rPr>
          <w:rFonts w:ascii="Times New Roman" w:hAnsi="Times New Roman" w:eastAsia="黑体"/>
          <w:bCs/>
          <w:sz w:val="32"/>
          <w:szCs w:val="32"/>
        </w:rPr>
      </w:pPr>
    </w:p>
    <w:p>
      <w:pPr>
        <w:adjustRightInd w:val="0"/>
        <w:snapToGrid w:val="0"/>
        <w:spacing w:line="600" w:lineRule="exact"/>
        <w:ind w:firstLine="640" w:firstLineChars="200"/>
        <w:rPr>
          <w:rFonts w:ascii="Times New Roman" w:hAnsi="Times New Roman" w:eastAsia="黑体"/>
          <w:bCs/>
          <w:sz w:val="32"/>
          <w:szCs w:val="32"/>
        </w:rPr>
      </w:pPr>
    </w:p>
    <w:p>
      <w:pPr>
        <w:adjustRightInd w:val="0"/>
        <w:snapToGrid w:val="0"/>
        <w:spacing w:line="600" w:lineRule="exact"/>
        <w:ind w:firstLine="640" w:firstLineChars="200"/>
        <w:rPr>
          <w:rFonts w:ascii="Times New Roman" w:hAnsi="Times New Roman" w:eastAsia="黑体"/>
          <w:bCs/>
          <w:sz w:val="32"/>
          <w:szCs w:val="32"/>
        </w:rPr>
      </w:pPr>
    </w:p>
    <w:p>
      <w:pPr>
        <w:adjustRightInd w:val="0"/>
        <w:snapToGrid w:val="0"/>
        <w:spacing w:line="600" w:lineRule="exact"/>
        <w:ind w:firstLine="640" w:firstLineChars="200"/>
        <w:rPr>
          <w:rFonts w:ascii="Times New Roman" w:hAnsi="Times New Roman" w:eastAsia="黑体"/>
          <w:bCs/>
          <w:sz w:val="32"/>
          <w:szCs w:val="32"/>
        </w:rPr>
      </w:pPr>
    </w:p>
    <w:p>
      <w:pPr>
        <w:adjustRightInd w:val="0"/>
        <w:snapToGrid w:val="0"/>
        <w:spacing w:line="600" w:lineRule="exact"/>
        <w:ind w:firstLine="640" w:firstLineChars="200"/>
        <w:rPr>
          <w:rFonts w:ascii="Times New Roman" w:hAnsi="Times New Roman" w:eastAsia="黑体"/>
          <w:bCs/>
          <w:sz w:val="32"/>
          <w:szCs w:val="32"/>
        </w:rPr>
      </w:pPr>
    </w:p>
    <w:p>
      <w:pPr>
        <w:adjustRightInd w:val="0"/>
        <w:snapToGrid w:val="0"/>
        <w:spacing w:line="600" w:lineRule="exact"/>
        <w:ind w:firstLine="640" w:firstLineChars="200"/>
        <w:rPr>
          <w:rFonts w:ascii="Times New Roman" w:hAnsi="Times New Roman" w:eastAsia="黑体"/>
          <w:bCs/>
          <w:sz w:val="32"/>
          <w:szCs w:val="32"/>
        </w:rPr>
      </w:pPr>
    </w:p>
    <w:p>
      <w:pPr>
        <w:adjustRightInd w:val="0"/>
        <w:snapToGrid w:val="0"/>
        <w:spacing w:line="600" w:lineRule="exact"/>
        <w:ind w:firstLine="640" w:firstLineChars="200"/>
        <w:rPr>
          <w:rFonts w:ascii="Times New Roman" w:hAnsi="Times New Roman" w:eastAsia="黑体"/>
          <w:bCs/>
          <w:sz w:val="32"/>
          <w:szCs w:val="32"/>
        </w:rPr>
      </w:pPr>
    </w:p>
    <w:p>
      <w:pPr>
        <w:adjustRightInd w:val="0"/>
        <w:snapToGrid w:val="0"/>
        <w:spacing w:line="600" w:lineRule="exact"/>
        <w:ind w:firstLine="640" w:firstLineChars="200"/>
        <w:rPr>
          <w:rFonts w:ascii="Times New Roman" w:hAnsi="Times New Roman" w:eastAsia="黑体"/>
          <w:bCs/>
          <w:sz w:val="32"/>
          <w:szCs w:val="32"/>
        </w:rPr>
      </w:pPr>
    </w:p>
    <w:p>
      <w:pPr>
        <w:adjustRightInd w:val="0"/>
        <w:snapToGrid w:val="0"/>
        <w:spacing w:line="600" w:lineRule="exact"/>
        <w:rPr>
          <w:rFonts w:ascii="Times New Roman" w:hAnsi="Times New Roman" w:eastAsia="黑体"/>
          <w:bCs/>
          <w:sz w:val="32"/>
          <w:szCs w:val="32"/>
        </w:rPr>
      </w:pPr>
    </w:p>
    <w:p>
      <w:pPr>
        <w:adjustRightInd w:val="0"/>
        <w:snapToGrid w:val="0"/>
        <w:spacing w:line="600" w:lineRule="exact"/>
        <w:rPr>
          <w:rFonts w:ascii="Times New Roman" w:hAnsi="Times New Roman" w:eastAsia="黑体"/>
          <w:bCs/>
          <w:sz w:val="32"/>
          <w:szCs w:val="32"/>
        </w:rPr>
      </w:pPr>
    </w:p>
    <w:p>
      <w:pPr>
        <w:adjustRightInd w:val="0"/>
        <w:snapToGrid w:val="0"/>
        <w:spacing w:line="600" w:lineRule="exact"/>
        <w:rPr>
          <w:rFonts w:ascii="Times New Roman" w:hAnsi="Times New Roman" w:eastAsia="黑体"/>
          <w:bCs/>
          <w:sz w:val="32"/>
          <w:szCs w:val="32"/>
        </w:rPr>
      </w:pPr>
    </w:p>
    <w:p>
      <w:pPr>
        <w:pStyle w:val="3"/>
        <w:widowControl w:val="0"/>
        <w:adjustRightInd w:val="0"/>
        <w:snapToGrid w:val="0"/>
        <w:spacing w:after="0" w:line="600" w:lineRule="exact"/>
        <w:rPr>
          <w:rFonts w:ascii="仿宋_GB2312" w:eastAsia="仿宋_GB2312"/>
          <w:spacing w:val="3"/>
          <w:sz w:val="32"/>
          <w:szCs w:val="32"/>
        </w:rPr>
      </w:pPr>
      <w:r>
        <w:rPr>
          <w:rFonts w:hint="eastAsia" w:ascii="楷体_GB2312" w:hAnsi="仿宋" w:eastAsia="楷体_GB2312" w:cs="仿宋"/>
          <w:sz w:val="32"/>
          <w:szCs w:val="32"/>
        </w:rPr>
        <w:t>新型能源-1</w:t>
      </w:r>
    </w:p>
    <w:p>
      <w:pPr>
        <w:adjustRightInd w:val="0"/>
        <w:snapToGrid w:val="0"/>
        <w:spacing w:line="600" w:lineRule="exact"/>
        <w:jc w:val="center"/>
        <w:outlineLvl w:val="0"/>
        <w:rPr>
          <w:rFonts w:ascii="方正小标宋简体" w:hAnsi="黑体" w:eastAsia="方正小标宋简体" w:cs="Times New Roman"/>
          <w:bCs/>
          <w:sz w:val="44"/>
          <w:szCs w:val="44"/>
        </w:rPr>
      </w:pPr>
    </w:p>
    <w:p>
      <w:pPr>
        <w:adjustRightInd w:val="0"/>
        <w:snapToGrid w:val="0"/>
        <w:spacing w:line="600" w:lineRule="exact"/>
        <w:jc w:val="center"/>
        <w:outlineLvl w:val="0"/>
        <w:rPr>
          <w:rFonts w:ascii="方正小标宋简体" w:hAnsi="黑体" w:eastAsia="方正小标宋简体" w:cs="Times New Roman"/>
          <w:bCs/>
          <w:sz w:val="44"/>
          <w:szCs w:val="44"/>
        </w:rPr>
      </w:pPr>
      <w:r>
        <w:rPr>
          <w:rFonts w:hint="eastAsia" w:ascii="方正小标宋简体" w:hAnsi="黑体" w:eastAsia="方正小标宋简体" w:cs="Times New Roman"/>
          <w:bCs/>
          <w:sz w:val="44"/>
          <w:szCs w:val="44"/>
        </w:rPr>
        <w:t>高效太阳能电池半片钝化、Poly SE</w:t>
      </w:r>
    </w:p>
    <w:p>
      <w:pPr>
        <w:adjustRightInd w:val="0"/>
        <w:snapToGrid w:val="0"/>
        <w:spacing w:line="600" w:lineRule="exact"/>
        <w:jc w:val="center"/>
        <w:outlineLvl w:val="0"/>
        <w:rPr>
          <w:rFonts w:ascii="仿宋" w:hAnsi="仿宋" w:eastAsia="仿宋" w:cs="Times New Roman"/>
          <w:b/>
          <w:bCs/>
          <w:sz w:val="44"/>
          <w:szCs w:val="44"/>
        </w:rPr>
      </w:pPr>
      <w:r>
        <w:rPr>
          <w:rFonts w:hint="eastAsia" w:ascii="方正小标宋简体" w:hAnsi="黑体" w:eastAsia="方正小标宋简体" w:cs="Times New Roman"/>
          <w:bCs/>
          <w:sz w:val="44"/>
          <w:szCs w:val="44"/>
        </w:rPr>
        <w:t>等效率提升关键技术研究与应用</w:t>
      </w:r>
    </w:p>
    <w:p>
      <w:pPr>
        <w:pStyle w:val="9"/>
        <w:widowControl w:val="0"/>
        <w:adjustRightInd w:val="0"/>
        <w:snapToGrid w:val="0"/>
        <w:spacing w:after="0" w:line="600" w:lineRule="exact"/>
        <w:ind w:firstLine="0" w:firstLineChars="0"/>
        <w:outlineLvl w:val="0"/>
        <w:rPr>
          <w:rFonts w:ascii="仿宋" w:hAnsi="仿宋" w:eastAsia="仿宋" w:cs="仿宋"/>
          <w:b/>
          <w:bCs/>
          <w:sz w:val="32"/>
          <w:szCs w:val="32"/>
        </w:rPr>
      </w:pPr>
    </w:p>
    <w:p>
      <w:pPr>
        <w:pStyle w:val="9"/>
        <w:widowControl w:val="0"/>
        <w:adjustRightInd w:val="0"/>
        <w:snapToGrid w:val="0"/>
        <w:spacing w:after="0" w:line="600" w:lineRule="exact"/>
        <w:ind w:firstLine="642" w:firstLineChars="200"/>
        <w:outlineLvl w:val="0"/>
        <w:rPr>
          <w:rFonts w:ascii="仿宋_GB2312" w:hAnsi="仿宋" w:eastAsia="仿宋_GB2312" w:cs="Times New Roman"/>
          <w:sz w:val="32"/>
          <w:szCs w:val="32"/>
        </w:rPr>
      </w:pPr>
      <w:r>
        <w:rPr>
          <w:rFonts w:hint="eastAsia" w:ascii="仿宋_GB2312" w:hAnsi="仿宋" w:eastAsia="仿宋_GB2312" w:cs="仿宋"/>
          <w:b/>
          <w:bCs/>
          <w:sz w:val="32"/>
          <w:szCs w:val="32"/>
        </w:rPr>
        <w:t>1.研究内容</w:t>
      </w:r>
    </w:p>
    <w:p>
      <w:pPr>
        <w:adjustRightInd w:val="0"/>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研究新型太阳能电池钝化结构及电池、组件光学电学损耗机制。探究半片切割钝化工艺开发与缺陷控制，开发基于AlOx/SiNx叠层协同钝化技术，实现侧边的界面钝化，减少载流子复合。研究激光和湿法工艺配合实现高性能多晶指状结构，探究激光诱导下低温烧结金属化与复合损失关系，实现多晶硅指状电极设计与载流子传输优化。构筑低温湿氧氧化制备BSG氧化层，研究氧化炉内载气量、水蒸气浓度、温度及时间等对BSG氧化动力学的影响规律，实现低温下均匀和致密氧化层生长。</w:t>
      </w:r>
    </w:p>
    <w:p>
      <w:pPr>
        <w:adjustRightInd w:val="0"/>
        <w:snapToGrid w:val="0"/>
        <w:spacing w:line="600" w:lineRule="exact"/>
        <w:ind w:firstLine="642" w:firstLineChars="200"/>
        <w:outlineLvl w:val="0"/>
        <w:rPr>
          <w:rFonts w:ascii="仿宋_GB2312" w:hAnsi="仿宋" w:eastAsia="仿宋_GB2312" w:cs="仿宋"/>
          <w:b/>
          <w:bCs/>
          <w:sz w:val="32"/>
          <w:szCs w:val="32"/>
        </w:rPr>
      </w:pPr>
      <w:r>
        <w:rPr>
          <w:rFonts w:hint="eastAsia" w:ascii="仿宋_GB2312" w:hAnsi="仿宋" w:eastAsia="仿宋_GB2312" w:cs="仿宋"/>
          <w:b/>
          <w:bCs/>
          <w:sz w:val="32"/>
          <w:szCs w:val="32"/>
        </w:rPr>
        <w:t>2.考核指标</w:t>
      </w:r>
    </w:p>
    <w:p>
      <w:pPr>
        <w:pStyle w:val="9"/>
        <w:widowControl w:val="0"/>
        <w:adjustRightInd w:val="0"/>
        <w:snapToGrid w:val="0"/>
        <w:spacing w:after="0" w:line="600" w:lineRule="exact"/>
        <w:ind w:firstLine="640" w:firstLineChars="200"/>
        <w:rPr>
          <w:rFonts w:ascii="仿宋_GB2312" w:eastAsia="仿宋_GB2312"/>
          <w:sz w:val="32"/>
          <w:szCs w:val="32"/>
        </w:rPr>
      </w:pPr>
      <w:r>
        <w:rPr>
          <w:rFonts w:hint="eastAsia" w:ascii="仿宋_GB2312" w:hAnsi="仿宋" w:eastAsia="仿宋_GB2312" w:cs="仿宋"/>
          <w:sz w:val="32"/>
          <w:szCs w:val="32"/>
        </w:rPr>
        <w:t>（1）通过氧化铝原子层沉积侧边钝化技术，半片电池效率损失≤0.3%,组件功率提升≥6W；开发背面多晶硅指状电极结构，组件功率提升≥4W，电池双面率提升3%；构建低温湿氧氧化工艺体系，石英器件寿命延长30%，工艺时间由175min左右缩短165min左右；量产良率≥98%（片数不少于20万片），组件主流功率提升至650W以上。</w:t>
      </w:r>
    </w:p>
    <w:p>
      <w:pPr>
        <w:pStyle w:val="9"/>
        <w:widowControl w:val="0"/>
        <w:adjustRightInd w:val="0"/>
        <w:snapToGrid w:val="0"/>
        <w:spacing w:after="0"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（2）申请发明专利3项。</w:t>
      </w:r>
    </w:p>
    <w:p>
      <w:pPr>
        <w:pStyle w:val="9"/>
        <w:widowControl w:val="0"/>
        <w:adjustRightInd w:val="0"/>
        <w:snapToGrid w:val="0"/>
        <w:spacing w:after="0"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（3）建立GW级高效应用示范线。</w:t>
      </w:r>
    </w:p>
    <w:p>
      <w:pPr>
        <w:adjustRightInd w:val="0"/>
        <w:snapToGrid w:val="0"/>
        <w:spacing w:line="600" w:lineRule="exact"/>
        <w:ind w:firstLine="642" w:firstLineChars="200"/>
        <w:outlineLvl w:val="0"/>
        <w:rPr>
          <w:rFonts w:ascii="仿宋_GB2312" w:hAnsi="仿宋" w:eastAsia="仿宋_GB2312" w:cs="仿宋"/>
          <w:sz w:val="32"/>
          <w:szCs w:val="32"/>
        </w:rPr>
      </w:pPr>
      <w:r>
        <w:rPr>
          <w:rFonts w:hint="eastAsia" w:ascii="仿宋_GB2312" w:hAnsi="仿宋" w:eastAsia="仿宋_GB2312" w:cs="仿宋"/>
          <w:b/>
          <w:bCs/>
          <w:sz w:val="32"/>
          <w:szCs w:val="32"/>
        </w:rPr>
        <w:t>3.实施周期：3</w:t>
      </w:r>
      <w:r>
        <w:rPr>
          <w:rFonts w:hint="eastAsia" w:ascii="仿宋_GB2312" w:hAnsi="仿宋" w:eastAsia="仿宋_GB2312" w:cs="仿宋"/>
          <w:sz w:val="32"/>
          <w:szCs w:val="32"/>
        </w:rPr>
        <w:t>年</w:t>
      </w:r>
    </w:p>
    <w:p>
      <w:pPr>
        <w:pStyle w:val="3"/>
        <w:widowControl w:val="0"/>
        <w:adjustRightInd w:val="0"/>
        <w:snapToGrid w:val="0"/>
        <w:spacing w:after="0" w:line="600" w:lineRule="exact"/>
        <w:ind w:firstLine="642" w:firstLineChars="200"/>
        <w:rPr>
          <w:rFonts w:ascii="仿宋_GB2312" w:eastAsia="仿宋_GB2312"/>
          <w:sz w:val="32"/>
          <w:szCs w:val="32"/>
        </w:rPr>
      </w:pPr>
      <w:r>
        <w:rPr>
          <w:rFonts w:hint="eastAsia" w:ascii="仿宋_GB2312" w:hAnsi="仿宋" w:eastAsia="仿宋_GB2312" w:cs="仿宋"/>
          <w:b/>
          <w:bCs/>
          <w:sz w:val="32"/>
          <w:szCs w:val="32"/>
        </w:rPr>
        <w:t>4.财政预算投入：</w:t>
      </w:r>
      <w:r>
        <w:rPr>
          <w:rFonts w:hint="eastAsia" w:ascii="仿宋_GB2312" w:hAnsi="仿宋" w:eastAsia="仿宋_GB2312" w:cs="仿宋"/>
          <w:sz w:val="32"/>
          <w:szCs w:val="32"/>
        </w:rPr>
        <w:t>预计财政专项资金投入1000万元，自筹不低于1000万元。</w:t>
      </w:r>
    </w:p>
    <w:p>
      <w:pPr>
        <w:pStyle w:val="3"/>
        <w:widowControl w:val="0"/>
        <w:adjustRightInd w:val="0"/>
        <w:snapToGrid w:val="0"/>
        <w:spacing w:after="0" w:line="600" w:lineRule="exact"/>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b/>
          <w:sz w:val="32"/>
          <w:szCs w:val="32"/>
        </w:rPr>
        <w:t>5.</w:t>
      </w:r>
      <w:r>
        <w:rPr>
          <w:rFonts w:hint="eastAsia" w:ascii="仿宋_GB2312" w:hAnsi="仿宋" w:eastAsia="仿宋_GB2312" w:cs="仿宋"/>
          <w:b/>
          <w:sz w:val="32"/>
          <w:szCs w:val="32"/>
        </w:rPr>
        <w:t>申报主体：</w:t>
      </w:r>
      <w:r>
        <w:rPr>
          <w:rFonts w:hint="eastAsia" w:ascii="仿宋_GB2312" w:hAnsi="仿宋" w:eastAsia="仿宋_GB2312" w:cs="仿宋"/>
          <w:sz w:val="32"/>
          <w:szCs w:val="32"/>
        </w:rPr>
        <w:t>由企业牵头申报。</w:t>
      </w: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z w:val="32"/>
          <w:szCs w:val="32"/>
        </w:rPr>
      </w:pPr>
    </w:p>
    <w:p>
      <w:pPr>
        <w:pStyle w:val="3"/>
        <w:widowControl w:val="0"/>
        <w:adjustRightInd w:val="0"/>
        <w:snapToGrid w:val="0"/>
        <w:spacing w:after="0" w:line="600" w:lineRule="exact"/>
        <w:rPr>
          <w:rFonts w:ascii="仿宋_GB2312" w:eastAsia="仿宋_GB2312"/>
          <w:spacing w:val="3"/>
          <w:sz w:val="32"/>
          <w:szCs w:val="32"/>
        </w:rPr>
      </w:pPr>
      <w:r>
        <w:rPr>
          <w:rFonts w:hint="eastAsia" w:ascii="楷体_GB2312" w:hAnsi="仿宋" w:eastAsia="楷体_GB2312" w:cs="仿宋"/>
          <w:sz w:val="32"/>
          <w:szCs w:val="32"/>
        </w:rPr>
        <w:t>新型能源-2</w:t>
      </w:r>
    </w:p>
    <w:p>
      <w:pPr>
        <w:adjustRightInd w:val="0"/>
        <w:snapToGrid w:val="0"/>
        <w:spacing w:line="600" w:lineRule="exact"/>
        <w:jc w:val="center"/>
        <w:rPr>
          <w:rFonts w:ascii="方正小标宋简体" w:hAnsi="仿宋_GB2312" w:eastAsia="方正小标宋简体" w:cs="仿宋_GB2312"/>
          <w:bCs/>
          <w:sz w:val="44"/>
          <w:szCs w:val="44"/>
        </w:rPr>
      </w:pPr>
    </w:p>
    <w:p>
      <w:pPr>
        <w:adjustRightInd w:val="0"/>
        <w:snapToGrid w:val="0"/>
        <w:spacing w:line="600" w:lineRule="exact"/>
        <w:jc w:val="center"/>
        <w:rPr>
          <w:rFonts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严寒地区矿山零碳供热系统关键技术</w:t>
      </w:r>
    </w:p>
    <w:p>
      <w:pPr>
        <w:adjustRightInd w:val="0"/>
        <w:snapToGrid w:val="0"/>
        <w:spacing w:line="600" w:lineRule="exact"/>
        <w:jc w:val="center"/>
        <w:rPr>
          <w:rFonts w:ascii="方正小标宋简体" w:hAnsi="仿宋_GB2312" w:eastAsia="方正小标宋简体" w:cs="仿宋_GB2312"/>
          <w:bCs/>
          <w:sz w:val="44"/>
          <w:szCs w:val="44"/>
        </w:rPr>
      </w:pPr>
      <w:r>
        <w:rPr>
          <w:rFonts w:hint="eastAsia" w:ascii="方正小标宋简体" w:hAnsi="仿宋_GB2312" w:eastAsia="方正小标宋简体" w:cs="仿宋_GB2312"/>
          <w:bCs/>
          <w:sz w:val="44"/>
          <w:szCs w:val="44"/>
        </w:rPr>
        <w:t>研发与示范应用</w:t>
      </w:r>
    </w:p>
    <w:p>
      <w:pPr>
        <w:adjustRightInd w:val="0"/>
        <w:snapToGrid w:val="0"/>
        <w:spacing w:line="600" w:lineRule="exact"/>
        <w:ind w:firstLine="643"/>
        <w:rPr>
          <w:rFonts w:ascii="仿宋_GB2312" w:hAnsi="仿宋_GB2312" w:eastAsia="仿宋_GB2312" w:cs="仿宋_GB2312"/>
          <w:b/>
          <w:bCs/>
          <w:sz w:val="32"/>
          <w:szCs w:val="32"/>
        </w:rPr>
      </w:pPr>
    </w:p>
    <w:p>
      <w:pPr>
        <w:adjustRightInd w:val="0"/>
        <w:snapToGrid w:val="0"/>
        <w:spacing w:line="600" w:lineRule="exact"/>
        <w:ind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1.研究内容</w:t>
      </w:r>
    </w:p>
    <w:p>
      <w:pPr>
        <w:adjustRightInd w:val="0"/>
        <w:snapToGrid w:val="0"/>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攻克严寒矿区非氟利昂工质供热系统传热衰减优化难题，构建超临界/跨临界热力循环多场耦合模型。研发矿山低品位余热潜热-显热协同回收技术，开发多级相变换热装置与智能控制系统。创建矿区多源零碳能源协同调控技术，揭示矿山复杂地势下环保工质传热/传质机理。建立矿山环境多因素权重评价体系，突破长距离管网热损抑制及多热源动态协同技术，形成覆盖矿山清洁能源替代、余热提质增效、智慧供热调控的全链条技术体系，建成首台（套）严寒地区矿山多源零碳供热示范工程。</w:t>
      </w:r>
    </w:p>
    <w:p>
      <w:pPr>
        <w:adjustRightInd w:val="0"/>
        <w:snapToGrid w:val="0"/>
        <w:spacing w:line="600" w:lineRule="exact"/>
        <w:ind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2.考核指标</w:t>
      </w:r>
    </w:p>
    <w:p>
      <w:pPr>
        <w:adjustRightInd w:val="0"/>
        <w:snapToGrid w:val="0"/>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（1）形成严寒地区零碳供热工程多系统集成技术方案1套，平均供热COP≥3，基于排放因子法计算碳排放降低90%，构建分布式压力平衡装置多源控制系统模型。</w:t>
      </w:r>
    </w:p>
    <w:p>
      <w:pPr>
        <w:adjustRightInd w:val="0"/>
        <w:snapToGrid w:val="0"/>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开发零碳供热系统多源协同优化配置算法1套，建设余热零碳提质及多级利用系统1套，系统100%使用非氟利昂工质设备，实现低品位余热（&lt;20℃）回收率≥85%，长距输热管网温降≤3℃/km，小时级负荷动态匹配误差≤5%，故障预测准确率≥90%，瞬时同步启动偏差≤10%。</w:t>
      </w:r>
    </w:p>
    <w:p>
      <w:pPr>
        <w:adjustRightInd w:val="0"/>
        <w:snapToGrid w:val="0"/>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（3）开展在-28℃稳定运行可靠性示范工程，运维成本降低30%。</w:t>
      </w:r>
    </w:p>
    <w:p>
      <w:pPr>
        <w:adjustRightInd w:val="0"/>
        <w:snapToGrid w:val="0"/>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（4）申请发明专利8件；制定行业标准1项。</w:t>
      </w:r>
    </w:p>
    <w:p>
      <w:pPr>
        <w:adjustRightInd w:val="0"/>
        <w:snapToGrid w:val="0"/>
        <w:spacing w:line="60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5</w:t>
      </w:r>
      <w:r>
        <w:rPr>
          <w:rFonts w:ascii="仿宋_GB2312" w:hAnsi="仿宋_GB2312" w:eastAsia="仿宋_GB2312" w:cs="仿宋_GB2312"/>
          <w:sz w:val="32"/>
          <w:szCs w:val="32"/>
        </w:rPr>
        <w:t>）项目成果在</w:t>
      </w:r>
      <w:r>
        <w:rPr>
          <w:rFonts w:hint="eastAsia" w:ascii="仿宋_GB2312" w:hAnsi="仿宋_GB2312" w:eastAsia="仿宋_GB2312" w:cs="仿宋_GB2312"/>
          <w:sz w:val="32"/>
          <w:szCs w:val="32"/>
        </w:rPr>
        <w:t>2家企业完成应用示范。</w:t>
      </w:r>
    </w:p>
    <w:p>
      <w:pPr>
        <w:adjustRightInd w:val="0"/>
        <w:snapToGrid w:val="0"/>
        <w:spacing w:line="600" w:lineRule="exact"/>
        <w:ind w:firstLine="643"/>
        <w:rPr>
          <w:rFonts w:ascii="仿宋_GB2312" w:hAnsi="仿宋_GB2312" w:eastAsia="仿宋_GB2312" w:cs="仿宋_GB2312"/>
          <w:bCs/>
          <w:sz w:val="32"/>
          <w:szCs w:val="32"/>
        </w:rPr>
      </w:pPr>
      <w:r>
        <w:rPr>
          <w:rFonts w:hint="eastAsia" w:ascii="仿宋_GB2312" w:hAnsi="仿宋_GB2312" w:eastAsia="仿宋_GB2312" w:cs="仿宋_GB2312"/>
          <w:b/>
          <w:bCs/>
          <w:sz w:val="32"/>
          <w:szCs w:val="32"/>
        </w:rPr>
        <w:t>3.实施周期：</w:t>
      </w:r>
      <w:r>
        <w:rPr>
          <w:rFonts w:hint="eastAsia" w:ascii="仿宋_GB2312" w:hAnsi="仿宋_GB2312" w:eastAsia="仿宋_GB2312" w:cs="仿宋_GB2312"/>
          <w:bCs/>
          <w:sz w:val="32"/>
          <w:szCs w:val="32"/>
        </w:rPr>
        <w:t>3年</w:t>
      </w:r>
    </w:p>
    <w:p>
      <w:pPr>
        <w:adjustRightInd w:val="0"/>
        <w:snapToGrid w:val="0"/>
        <w:spacing w:line="60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4.拟支持资金额度：</w:t>
      </w:r>
      <w:r>
        <w:rPr>
          <w:rFonts w:hint="eastAsia" w:ascii="仿宋_GB2312" w:hAnsi="仿宋_GB2312" w:eastAsia="仿宋_GB2312" w:cs="仿宋_GB2312"/>
          <w:kern w:val="0"/>
          <w:sz w:val="32"/>
          <w:szCs w:val="32"/>
        </w:rPr>
        <w:t>预计财政专项资金投入1000万元。</w:t>
      </w: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5.申报主体：</w:t>
      </w:r>
      <w:r>
        <w:rPr>
          <w:rFonts w:hint="eastAsia" w:ascii="仿宋_GB2312" w:hAnsi="仿宋_GB2312" w:eastAsia="仿宋_GB2312" w:cs="仿宋_GB2312"/>
          <w:sz w:val="32"/>
          <w:szCs w:val="32"/>
        </w:rPr>
        <w:t>由事业单位性质的科研机构牵头申报。</w:t>
      </w: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楷体_GB2312" w:hAnsi="Times New Roman" w:eastAsia="楷体_GB2312"/>
          <w:bCs/>
          <w:sz w:val="32"/>
          <w:szCs w:val="32"/>
        </w:rPr>
      </w:pPr>
    </w:p>
    <w:p>
      <w:pPr>
        <w:pStyle w:val="3"/>
        <w:widowControl w:val="0"/>
        <w:adjustRightInd w:val="0"/>
        <w:snapToGrid w:val="0"/>
        <w:spacing w:after="0" w:line="600" w:lineRule="exact"/>
        <w:rPr>
          <w:rFonts w:ascii="楷体_GB2312" w:hAnsi="仿宋" w:eastAsia="楷体_GB2312" w:cs="仿宋"/>
          <w:sz w:val="32"/>
          <w:szCs w:val="32"/>
        </w:rPr>
      </w:pPr>
      <w:r>
        <w:rPr>
          <w:rFonts w:hint="eastAsia" w:ascii="楷体_GB2312" w:hAnsi="仿宋" w:eastAsia="楷体_GB2312" w:cs="仿宋"/>
          <w:sz w:val="32"/>
          <w:szCs w:val="32"/>
        </w:rPr>
        <w:t>安全生产-1</w:t>
      </w:r>
    </w:p>
    <w:p>
      <w:pPr>
        <w:adjustRightInd w:val="0"/>
        <w:snapToGrid w:val="0"/>
        <w:spacing w:line="600" w:lineRule="exact"/>
        <w:jc w:val="center"/>
        <w:rPr>
          <w:rFonts w:ascii="方正小标宋简体" w:hAnsi="方正公文小标宋" w:eastAsia="方正小标宋简体" w:cs="方正公文小标宋"/>
          <w:bCs/>
          <w:color w:val="000000" w:themeColor="text1"/>
          <w:sz w:val="44"/>
          <w:szCs w:val="44"/>
          <w14:textFill>
            <w14:solidFill>
              <w14:schemeClr w14:val="tx1"/>
            </w14:solidFill>
          </w14:textFill>
        </w:rPr>
      </w:pPr>
    </w:p>
    <w:p>
      <w:pPr>
        <w:adjustRightInd w:val="0"/>
        <w:snapToGrid w:val="0"/>
        <w:spacing w:line="600" w:lineRule="exact"/>
        <w:jc w:val="center"/>
        <w:rPr>
          <w:rFonts w:ascii="方正小标宋简体" w:hAnsi="方正公文小标宋" w:eastAsia="方正小标宋简体" w:cs="方正公文小标宋"/>
          <w:bCs/>
          <w:color w:val="000000" w:themeColor="text1"/>
          <w:sz w:val="44"/>
          <w:szCs w:val="44"/>
          <w14:textFill>
            <w14:solidFill>
              <w14:schemeClr w14:val="tx1"/>
            </w14:solidFill>
          </w14:textFill>
        </w:rPr>
      </w:pPr>
      <w:r>
        <w:rPr>
          <w:rFonts w:hint="eastAsia" w:ascii="方正小标宋简体" w:hAnsi="方正公文小标宋" w:eastAsia="方正小标宋简体" w:cs="方正公文小标宋"/>
          <w:bCs/>
          <w:color w:val="000000" w:themeColor="text1"/>
          <w:sz w:val="44"/>
          <w:szCs w:val="44"/>
          <w14:textFill>
            <w14:solidFill>
              <w14:schemeClr w14:val="tx1"/>
            </w14:solidFill>
          </w14:textFill>
        </w:rPr>
        <w:t>鄂尔多斯深部矿井冲击地压的地质动力</w:t>
      </w:r>
    </w:p>
    <w:p>
      <w:pPr>
        <w:adjustRightInd w:val="0"/>
        <w:snapToGrid w:val="0"/>
        <w:spacing w:line="600" w:lineRule="exact"/>
        <w:jc w:val="center"/>
        <w:rPr>
          <w:rFonts w:ascii="方正小标宋简体" w:hAnsi="方正公文小标宋" w:eastAsia="方正小标宋简体" w:cs="方正公文小标宋"/>
          <w:bCs/>
          <w:color w:val="000000" w:themeColor="text1"/>
          <w:sz w:val="44"/>
          <w:szCs w:val="44"/>
          <w14:textFill>
            <w14:solidFill>
              <w14:schemeClr w14:val="tx1"/>
            </w14:solidFill>
          </w14:textFill>
        </w:rPr>
      </w:pPr>
      <w:r>
        <w:rPr>
          <w:rFonts w:hint="eastAsia" w:ascii="方正小标宋简体" w:hAnsi="方正公文小标宋" w:eastAsia="方正小标宋简体" w:cs="方正公文小标宋"/>
          <w:bCs/>
          <w:color w:val="000000" w:themeColor="text1"/>
          <w:sz w:val="44"/>
          <w:szCs w:val="44"/>
          <w14:textFill>
            <w14:solidFill>
              <w14:schemeClr w14:val="tx1"/>
            </w14:solidFill>
          </w14:textFill>
        </w:rPr>
        <w:t>条件及灾害精准预测防控关键</w:t>
      </w:r>
    </w:p>
    <w:p>
      <w:pPr>
        <w:adjustRightInd w:val="0"/>
        <w:snapToGrid w:val="0"/>
        <w:spacing w:line="600" w:lineRule="exact"/>
        <w:jc w:val="center"/>
        <w:rPr>
          <w:rFonts w:ascii="方正小标宋简体" w:hAnsi="方正公文小标宋" w:eastAsia="方正小标宋简体" w:cs="方正公文小标宋"/>
          <w:bCs/>
          <w:color w:val="000000" w:themeColor="text1"/>
          <w:sz w:val="44"/>
          <w:szCs w:val="44"/>
          <w14:textFill>
            <w14:solidFill>
              <w14:schemeClr w14:val="tx1"/>
            </w14:solidFill>
          </w14:textFill>
        </w:rPr>
      </w:pPr>
      <w:r>
        <w:rPr>
          <w:rFonts w:hint="eastAsia" w:ascii="方正小标宋简体" w:hAnsi="方正公文小标宋" w:eastAsia="方正小标宋简体" w:cs="方正公文小标宋"/>
          <w:bCs/>
          <w:color w:val="000000" w:themeColor="text1"/>
          <w:sz w:val="44"/>
          <w:szCs w:val="44"/>
          <w14:textFill>
            <w14:solidFill>
              <w14:schemeClr w14:val="tx1"/>
            </w14:solidFill>
          </w14:textFill>
        </w:rPr>
        <w:t>技术与应用示范</w:t>
      </w:r>
    </w:p>
    <w:p>
      <w:pPr>
        <w:adjustRightInd w:val="0"/>
        <w:snapToGrid w:val="0"/>
        <w:spacing w:line="600" w:lineRule="exact"/>
        <w:ind w:firstLine="642" w:firstLineChars="200"/>
        <w:outlineLvl w:val="0"/>
        <w:rPr>
          <w:rFonts w:ascii="仿宋_GB2312" w:hAnsi="仿宋_GB2312" w:eastAsia="仿宋_GB2312" w:cs="仿宋_GB2312"/>
          <w:b/>
          <w:bCs/>
          <w:color w:val="000000" w:themeColor="text1"/>
          <w:sz w:val="32"/>
          <w:szCs w:val="32"/>
          <w14:textFill>
            <w14:solidFill>
              <w14:schemeClr w14:val="tx1"/>
            </w14:solidFill>
          </w14:textFill>
        </w:rPr>
      </w:pPr>
    </w:p>
    <w:p>
      <w:pPr>
        <w:adjustRightInd w:val="0"/>
        <w:snapToGrid w:val="0"/>
        <w:spacing w:line="600" w:lineRule="exact"/>
        <w:ind w:firstLine="642" w:firstLineChars="200"/>
        <w:outlineLvl w:val="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1.研究内容</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解决鄂尔多斯深部矿井冲击地压的全生命周期过程中的灾害超前智能化监测预警、精准预测防控关键技术难题。明确冲击地压主控关键层的坚硬覆岩地质动力条件，构建基于北斗GNSS、InSAR的矿区地壳形变监测方法，搭建无人机智能航测巡检技术，研发井上井下“地震-微震”一体化监测系统，实现“空-天-地-井”一体化智能监测预警多模态信息融合</w:t>
      </w:r>
      <w:r>
        <w:rPr>
          <w:rFonts w:hint="eastAsia" w:ascii="仿宋_GB2312" w:hAnsi="仿宋" w:eastAsia="仿宋_GB2312"/>
          <w:sz w:val="32"/>
          <w:szCs w:val="32"/>
        </w:rPr>
        <w:t>，精准判识诱震关键层。</w:t>
      </w:r>
      <w:r>
        <w:rPr>
          <w:rFonts w:hint="eastAsia" w:ascii="仿宋_GB2312" w:hAnsi="仿宋_GB2312" w:eastAsia="仿宋_GB2312" w:cs="仿宋_GB2312"/>
          <w:sz w:val="32"/>
          <w:szCs w:val="32"/>
        </w:rPr>
        <w:t>构建多尺度DeepSeek大模型，</w:t>
      </w:r>
      <w:r>
        <w:rPr>
          <w:rFonts w:ascii="仿宋_GB2312" w:hAnsi="仿宋_GB2312" w:eastAsia="仿宋_GB2312" w:cs="仿宋_GB2312"/>
          <w:sz w:val="32"/>
          <w:szCs w:val="32"/>
        </w:rPr>
        <w:t>研发</w:t>
      </w:r>
      <w:r>
        <w:rPr>
          <w:rFonts w:hint="eastAsia" w:ascii="仿宋_GB2312" w:hAnsi="仿宋_GB2312" w:eastAsia="仿宋_GB2312" w:cs="仿宋_GB2312"/>
          <w:sz w:val="32"/>
          <w:szCs w:val="32"/>
        </w:rPr>
        <w:t>冲击地压</w:t>
      </w:r>
      <w:r>
        <w:rPr>
          <w:rFonts w:ascii="仿宋_GB2312" w:hAnsi="仿宋_GB2312" w:eastAsia="仿宋_GB2312" w:cs="仿宋_GB2312"/>
          <w:sz w:val="32"/>
          <w:szCs w:val="32"/>
        </w:rPr>
        <w:t>灾害智能分析系统</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基于矿井</w:t>
      </w:r>
      <w:r>
        <w:rPr>
          <w:rFonts w:hint="eastAsia" w:ascii="仿宋_GB2312" w:hAnsi="仿宋_GB2312" w:eastAsia="仿宋_GB2312" w:cs="仿宋_GB2312"/>
          <w:sz w:val="32"/>
          <w:szCs w:val="32"/>
        </w:rPr>
        <w:t>多因素模式识别危险性预测技术，实现冲击地压危险性</w:t>
      </w:r>
      <w:r>
        <w:rPr>
          <w:rFonts w:ascii="仿宋_GB2312" w:hAnsi="仿宋_GB2312" w:eastAsia="仿宋_GB2312" w:cs="仿宋_GB2312"/>
          <w:sz w:val="32"/>
          <w:szCs w:val="32"/>
        </w:rPr>
        <w:t>分单元</w:t>
      </w:r>
      <w:r>
        <w:rPr>
          <w:rFonts w:hint="eastAsia" w:ascii="仿宋_GB2312" w:hAnsi="仿宋_GB2312" w:eastAsia="仿宋_GB2312" w:cs="仿宋_GB2312"/>
          <w:sz w:val="32"/>
          <w:szCs w:val="32"/>
        </w:rPr>
        <w:t>精准分级预测和</w:t>
      </w:r>
      <w:r>
        <w:rPr>
          <w:rFonts w:ascii="仿宋_GB2312" w:hAnsi="仿宋_GB2312" w:eastAsia="仿宋_GB2312" w:cs="仿宋_GB2312"/>
          <w:sz w:val="32"/>
          <w:szCs w:val="32"/>
        </w:rPr>
        <w:t>防治技术方案智能</w:t>
      </w:r>
      <w:r>
        <w:rPr>
          <w:rFonts w:hint="eastAsia" w:ascii="仿宋_GB2312" w:hAnsi="仿宋_GB2312" w:eastAsia="仿宋_GB2312" w:cs="仿宋_GB2312"/>
          <w:sz w:val="32"/>
          <w:szCs w:val="32"/>
        </w:rPr>
        <w:t>判别</w:t>
      </w:r>
      <w:r>
        <w:rPr>
          <w:rFonts w:ascii="仿宋_GB2312" w:hAnsi="仿宋_GB2312" w:eastAsia="仿宋_GB2312" w:cs="仿宋_GB2312"/>
          <w:sz w:val="32"/>
          <w:szCs w:val="32"/>
        </w:rPr>
        <w:t>。针对</w:t>
      </w:r>
      <w:r>
        <w:rPr>
          <w:rFonts w:hint="eastAsia" w:ascii="仿宋_GB2312" w:hAnsi="仿宋_GB2312" w:eastAsia="仿宋_GB2312" w:cs="仿宋_GB2312"/>
          <w:sz w:val="32"/>
          <w:szCs w:val="32"/>
        </w:rPr>
        <w:t>低位、中高位厚硬关键层卸压防冲，研发地质动力环境改造与减压开采协同防冲关键技术。形成大型冲击地压矿井“智能监测预警、协同卸压动态调控”源头防治关键技术体系。</w:t>
      </w:r>
    </w:p>
    <w:p>
      <w:pPr>
        <w:adjustRightInd w:val="0"/>
        <w:snapToGrid w:val="0"/>
        <w:spacing w:line="600" w:lineRule="exact"/>
        <w:ind w:firstLine="642" w:firstLineChars="200"/>
        <w:outlineLvl w:val="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2.考核指标</w:t>
      </w:r>
    </w:p>
    <w:p>
      <w:pPr>
        <w:adjustRightInd w:val="0"/>
        <w:snapToGrid w:val="0"/>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（1）研发井上井下“地震-微震”一体化监测系统，地震事件正确识别率≥95%；满足震级ML≥0.5；地震计动态范围≥110dB；微震计动态范围≥100dB；实现“地震-微震”数据互通及井下点位网络授时与通讯。</w:t>
      </w:r>
    </w:p>
    <w:p>
      <w:pPr>
        <w:adjustRightInd w:val="0"/>
        <w:snapToGrid w:val="0"/>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（2）GNSS监测矿区地表形变水平和垂直精度分别为≤3mm和≤8mm，InSAR的视向线精度达3-5cm；监测矿井地质体垂直运动速率±15mm/a，水平运动速率8mm/a。</w:t>
      </w:r>
    </w:p>
    <w:p>
      <w:pPr>
        <w:adjustRightInd w:val="0"/>
        <w:snapToGrid w:val="0"/>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（3）预测矿井冲击地压发生的危险性，危险区域识别准确率≥95%，精细化分级≥4级。</w:t>
      </w:r>
    </w:p>
    <w:p>
      <w:pPr>
        <w:adjustRightInd w:val="0"/>
        <w:snapToGrid w:val="0"/>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（4）实现研究区域范围内不出现2.0级以上的非天然地震事件。</w:t>
      </w:r>
    </w:p>
    <w:p>
      <w:pPr>
        <w:adjustRightInd w:val="0"/>
        <w:snapToGrid w:val="0"/>
        <w:spacing w:line="60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（5）申请发明专利6项；编制国家、地区、行业或团体标准3项。</w:t>
      </w:r>
    </w:p>
    <w:p>
      <w:pPr>
        <w:adjustRightInd w:val="0"/>
        <w:snapToGrid w:val="0"/>
        <w:spacing w:line="600" w:lineRule="exact"/>
        <w:ind w:firstLine="640" w:firstLineChars="200"/>
        <w:rPr>
          <w:rFonts w:ascii="仿宋_GB2312" w:hAnsi="仿宋_GB2312" w:eastAsia="仿宋_GB2312" w:cs="仿宋_GB2312"/>
          <w:sz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）项目成果在</w:t>
      </w:r>
      <w:r>
        <w:rPr>
          <w:rFonts w:hint="eastAsia" w:ascii="仿宋_GB2312" w:hAnsi="仿宋_GB2312" w:eastAsia="仿宋_GB2312" w:cs="仿宋_GB2312"/>
          <w:sz w:val="32"/>
          <w:szCs w:val="32"/>
        </w:rPr>
        <w:t>2家企业完成应用示范。</w:t>
      </w:r>
    </w:p>
    <w:p>
      <w:pPr>
        <w:adjustRightInd w:val="0"/>
        <w:snapToGrid w:val="0"/>
        <w:spacing w:line="600" w:lineRule="exact"/>
        <w:ind w:firstLine="642" w:firstLineChars="200"/>
        <w:rPr>
          <w:rFonts w:ascii="仿宋_GB2312" w:hAnsi="仿宋_GB2312" w:eastAsia="仿宋_GB2312" w:cs="仿宋_GB2312"/>
          <w:bCs/>
          <w:sz w:val="32"/>
          <w:szCs w:val="32"/>
        </w:rPr>
      </w:pPr>
      <w:r>
        <w:rPr>
          <w:rFonts w:hint="eastAsia" w:ascii="仿宋_GB2312" w:hAnsi="仿宋_GB2312" w:eastAsia="仿宋_GB2312" w:cs="仿宋_GB2312"/>
          <w:b/>
          <w:bCs/>
          <w:sz w:val="32"/>
          <w:szCs w:val="32"/>
        </w:rPr>
        <w:t>3.实施周期：</w:t>
      </w:r>
      <w:r>
        <w:rPr>
          <w:rFonts w:hint="eastAsia" w:ascii="仿宋_GB2312" w:hAnsi="仿宋_GB2312" w:eastAsia="仿宋_GB2312" w:cs="仿宋_GB2312"/>
          <w:bCs/>
          <w:sz w:val="32"/>
          <w:szCs w:val="32"/>
        </w:rPr>
        <w:t>3年</w:t>
      </w:r>
    </w:p>
    <w:p>
      <w:pPr>
        <w:adjustRightInd w:val="0"/>
        <w:snapToGrid w:val="0"/>
        <w:spacing w:line="600" w:lineRule="exact"/>
        <w:ind w:firstLine="642" w:firstLineChars="200"/>
        <w:rPr>
          <w:rFonts w:ascii="仿宋_GB2312" w:hAnsi="仿宋" w:eastAsia="仿宋_GB2312"/>
          <w:color w:val="000000"/>
          <w:sz w:val="32"/>
          <w:szCs w:val="32"/>
        </w:rPr>
      </w:pPr>
      <w:r>
        <w:rPr>
          <w:rFonts w:hint="eastAsia" w:ascii="仿宋_GB2312" w:hAnsi="仿宋_GB2312" w:eastAsia="仿宋_GB2312" w:cs="仿宋_GB2312"/>
          <w:b/>
          <w:bCs/>
          <w:sz w:val="32"/>
          <w:szCs w:val="32"/>
        </w:rPr>
        <w:t>4.拟支持资金额度：</w:t>
      </w:r>
      <w:r>
        <w:rPr>
          <w:rFonts w:hint="eastAsia" w:ascii="仿宋_GB2312" w:hAnsi="仿宋_GB2312" w:eastAsia="仿宋_GB2312" w:cs="仿宋_GB2312"/>
          <w:sz w:val="32"/>
          <w:szCs w:val="32"/>
        </w:rPr>
        <w:t>预计财政专项资金投入1000万元。</w:t>
      </w: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5.申报主体：</w:t>
      </w:r>
      <w:r>
        <w:rPr>
          <w:rFonts w:hint="eastAsia" w:ascii="仿宋_GB2312" w:hAnsi="仿宋_GB2312" w:eastAsia="仿宋_GB2312" w:cs="仿宋_GB2312"/>
          <w:sz w:val="32"/>
          <w:szCs w:val="32"/>
        </w:rPr>
        <w:t>由事业单位性质的科研机构牵头申报。</w:t>
      </w: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p>
    <w:p>
      <w:pPr>
        <w:spacing w:line="600" w:lineRule="exact"/>
        <w:rPr>
          <w:rFonts w:ascii="方正小标宋简体" w:hAnsi="宋体" w:eastAsia="方正小标宋简体"/>
          <w:bCs/>
          <w:sz w:val="44"/>
          <w:szCs w:val="44"/>
        </w:rPr>
      </w:pPr>
      <w:bookmarkStart w:id="3" w:name="_GoBack"/>
      <w:bookmarkEnd w:id="3"/>
    </w:p>
    <w:sectPr>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华文仿宋">
    <w:altName w:val="汉仪仿宋简"/>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公文小标宋">
    <w:altName w:val="方正小标宋简体"/>
    <w:panose1 w:val="00000000000000000000"/>
    <w:charset w:val="86"/>
    <w:family w:val="auto"/>
    <w:pitch w:val="default"/>
    <w:sig w:usb0="00000000" w:usb1="00000000"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Batang">
    <w:panose1 w:val="02030600000101010101"/>
    <w:charset w:val="81"/>
    <w:family w:val="auto"/>
    <w:pitch w:val="default"/>
    <w:sig w:usb0="B00002AF" w:usb1="69D77CFB" w:usb2="00000030" w:usb3="00000000" w:csb0="4008009F" w:csb1="DFD70000"/>
  </w:font>
  <w:font w:name="汉仪仿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8442713"/>
    </w:sdtPr>
    <w:sdtEndPr>
      <w:rPr>
        <w:rFonts w:ascii="仿宋" w:hAnsi="仿宋" w:eastAsia="仿宋"/>
        <w:sz w:val="32"/>
        <w:szCs w:val="32"/>
      </w:rPr>
    </w:sdtEndPr>
    <w:sdtContent>
      <w:p>
        <w:pPr>
          <w:pStyle w:val="6"/>
          <w:jc w:val="center"/>
          <w:rPr>
            <w:rFonts w:ascii="仿宋" w:hAnsi="仿宋" w:eastAsia="仿宋"/>
            <w:sz w:val="32"/>
            <w:szCs w:val="32"/>
          </w:rPr>
        </w:pPr>
        <w:r>
          <w:rPr>
            <w:rFonts w:ascii="仿宋" w:hAnsi="仿宋" w:eastAsia="仿宋"/>
            <w:sz w:val="32"/>
            <w:szCs w:val="32"/>
          </w:rPr>
          <w:fldChar w:fldCharType="begin"/>
        </w:r>
        <w:r>
          <w:rPr>
            <w:rFonts w:ascii="仿宋" w:hAnsi="仿宋" w:eastAsia="仿宋"/>
            <w:sz w:val="32"/>
            <w:szCs w:val="32"/>
          </w:rPr>
          <w:instrText xml:space="preserve">PAGE   \* MERGEFORMAT</w:instrText>
        </w:r>
        <w:r>
          <w:rPr>
            <w:rFonts w:ascii="仿宋" w:hAnsi="仿宋" w:eastAsia="仿宋"/>
            <w:sz w:val="32"/>
            <w:szCs w:val="32"/>
          </w:rPr>
          <w:fldChar w:fldCharType="separate"/>
        </w:r>
        <w:r>
          <w:rPr>
            <w:rFonts w:ascii="仿宋" w:hAnsi="仿宋" w:eastAsia="仿宋"/>
            <w:sz w:val="32"/>
            <w:szCs w:val="32"/>
            <w:lang w:val="zh-CN"/>
          </w:rPr>
          <w:t>-</w:t>
        </w:r>
        <w:r>
          <w:rPr>
            <w:rFonts w:ascii="仿宋" w:hAnsi="仿宋" w:eastAsia="仿宋"/>
            <w:sz w:val="32"/>
            <w:szCs w:val="32"/>
          </w:rPr>
          <w:t xml:space="preserve"> 1 -</w:t>
        </w:r>
        <w:r>
          <w:rPr>
            <w:rFonts w:ascii="仿宋" w:hAnsi="仿宋" w:eastAsia="仿宋"/>
            <w:sz w:val="32"/>
            <w:szCs w:val="3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6020233"/>
    </w:sdtPr>
    <w:sdtEndPr>
      <w:rPr>
        <w:rFonts w:ascii="仿宋" w:hAnsi="仿宋" w:eastAsia="仿宋"/>
        <w:sz w:val="32"/>
        <w:szCs w:val="32"/>
      </w:rPr>
    </w:sdtEndPr>
    <w:sdtContent>
      <w:p>
        <w:pPr>
          <w:pStyle w:val="6"/>
          <w:jc w:val="center"/>
          <w:rPr>
            <w:rFonts w:ascii="仿宋" w:hAnsi="仿宋" w:eastAsia="仿宋"/>
            <w:sz w:val="32"/>
            <w:szCs w:val="32"/>
          </w:rPr>
        </w:pPr>
        <w:r>
          <w:rPr>
            <w:rFonts w:ascii="仿宋" w:hAnsi="仿宋" w:eastAsia="仿宋"/>
            <w:sz w:val="32"/>
            <w:szCs w:val="32"/>
          </w:rPr>
          <w:fldChar w:fldCharType="begin"/>
        </w:r>
        <w:r>
          <w:rPr>
            <w:rFonts w:ascii="仿宋" w:hAnsi="仿宋" w:eastAsia="仿宋"/>
            <w:sz w:val="32"/>
            <w:szCs w:val="32"/>
          </w:rPr>
          <w:instrText xml:space="preserve">PAGE   \* MERGEFORMAT</w:instrText>
        </w:r>
        <w:r>
          <w:rPr>
            <w:rFonts w:ascii="仿宋" w:hAnsi="仿宋" w:eastAsia="仿宋"/>
            <w:sz w:val="32"/>
            <w:szCs w:val="32"/>
          </w:rPr>
          <w:fldChar w:fldCharType="separate"/>
        </w:r>
        <w:r>
          <w:rPr>
            <w:rFonts w:ascii="仿宋" w:hAnsi="仿宋" w:eastAsia="仿宋"/>
            <w:sz w:val="32"/>
            <w:szCs w:val="32"/>
            <w:lang w:val="zh-CN"/>
          </w:rPr>
          <w:t>-</w:t>
        </w:r>
        <w:r>
          <w:rPr>
            <w:rFonts w:ascii="仿宋" w:hAnsi="仿宋" w:eastAsia="仿宋"/>
            <w:sz w:val="32"/>
            <w:szCs w:val="32"/>
          </w:rPr>
          <w:t xml:space="preserve"> 20 -</w:t>
        </w:r>
        <w:r>
          <w:rPr>
            <w:rFonts w:ascii="仿宋" w:hAnsi="仿宋" w:eastAsia="仿宋"/>
            <w:sz w:val="32"/>
            <w:szCs w:val="32"/>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2C5"/>
    <w:rsid w:val="00005E89"/>
    <w:rsid w:val="00011AA7"/>
    <w:rsid w:val="00012D19"/>
    <w:rsid w:val="000142D6"/>
    <w:rsid w:val="00023196"/>
    <w:rsid w:val="00025E1F"/>
    <w:rsid w:val="000267E3"/>
    <w:rsid w:val="000523BB"/>
    <w:rsid w:val="00052E9A"/>
    <w:rsid w:val="0005303E"/>
    <w:rsid w:val="000537CB"/>
    <w:rsid w:val="00054729"/>
    <w:rsid w:val="00055B4E"/>
    <w:rsid w:val="000709D7"/>
    <w:rsid w:val="00080EAC"/>
    <w:rsid w:val="00081A09"/>
    <w:rsid w:val="000921F2"/>
    <w:rsid w:val="000943BF"/>
    <w:rsid w:val="000A2B37"/>
    <w:rsid w:val="000A607C"/>
    <w:rsid w:val="000B07D8"/>
    <w:rsid w:val="000B664D"/>
    <w:rsid w:val="000C015C"/>
    <w:rsid w:val="000C2E66"/>
    <w:rsid w:val="000C398E"/>
    <w:rsid w:val="000C4443"/>
    <w:rsid w:val="000E3F3D"/>
    <w:rsid w:val="000E4FEF"/>
    <w:rsid w:val="000F235C"/>
    <w:rsid w:val="000F5433"/>
    <w:rsid w:val="000F59CB"/>
    <w:rsid w:val="00125750"/>
    <w:rsid w:val="00125F48"/>
    <w:rsid w:val="00137B20"/>
    <w:rsid w:val="00141A14"/>
    <w:rsid w:val="0014569C"/>
    <w:rsid w:val="001532C8"/>
    <w:rsid w:val="00170EA0"/>
    <w:rsid w:val="00170FC7"/>
    <w:rsid w:val="001779DD"/>
    <w:rsid w:val="001805CA"/>
    <w:rsid w:val="0018182B"/>
    <w:rsid w:val="00195FD2"/>
    <w:rsid w:val="001A25F3"/>
    <w:rsid w:val="001A48EC"/>
    <w:rsid w:val="001B06D3"/>
    <w:rsid w:val="001B3751"/>
    <w:rsid w:val="001B6FDE"/>
    <w:rsid w:val="001B7588"/>
    <w:rsid w:val="001C23C9"/>
    <w:rsid w:val="001C7260"/>
    <w:rsid w:val="001D471A"/>
    <w:rsid w:val="001D4C7B"/>
    <w:rsid w:val="001E17E8"/>
    <w:rsid w:val="001F031A"/>
    <w:rsid w:val="0020408C"/>
    <w:rsid w:val="00222C8D"/>
    <w:rsid w:val="00226A18"/>
    <w:rsid w:val="0023107D"/>
    <w:rsid w:val="00232338"/>
    <w:rsid w:val="00233DE5"/>
    <w:rsid w:val="00240306"/>
    <w:rsid w:val="00240822"/>
    <w:rsid w:val="00255501"/>
    <w:rsid w:val="0025663E"/>
    <w:rsid w:val="00260E8B"/>
    <w:rsid w:val="00261F74"/>
    <w:rsid w:val="002760D3"/>
    <w:rsid w:val="00277562"/>
    <w:rsid w:val="002A2D50"/>
    <w:rsid w:val="002B5EC4"/>
    <w:rsid w:val="002B6570"/>
    <w:rsid w:val="002C2E78"/>
    <w:rsid w:val="002C3682"/>
    <w:rsid w:val="002C6913"/>
    <w:rsid w:val="002F316C"/>
    <w:rsid w:val="00300072"/>
    <w:rsid w:val="0030442C"/>
    <w:rsid w:val="00305A19"/>
    <w:rsid w:val="00306B6D"/>
    <w:rsid w:val="0031306E"/>
    <w:rsid w:val="00322518"/>
    <w:rsid w:val="00323872"/>
    <w:rsid w:val="0032646E"/>
    <w:rsid w:val="00331786"/>
    <w:rsid w:val="00340612"/>
    <w:rsid w:val="00340854"/>
    <w:rsid w:val="00343DFD"/>
    <w:rsid w:val="003627A8"/>
    <w:rsid w:val="003644C1"/>
    <w:rsid w:val="00372A55"/>
    <w:rsid w:val="00372F09"/>
    <w:rsid w:val="00377402"/>
    <w:rsid w:val="00382EC3"/>
    <w:rsid w:val="00383077"/>
    <w:rsid w:val="0039191E"/>
    <w:rsid w:val="003965A9"/>
    <w:rsid w:val="003A4170"/>
    <w:rsid w:val="003A54C4"/>
    <w:rsid w:val="003B232E"/>
    <w:rsid w:val="003B74D5"/>
    <w:rsid w:val="003C0A5F"/>
    <w:rsid w:val="003C3012"/>
    <w:rsid w:val="003D0351"/>
    <w:rsid w:val="003D4F0E"/>
    <w:rsid w:val="003D725D"/>
    <w:rsid w:val="003E30A3"/>
    <w:rsid w:val="003F0AD8"/>
    <w:rsid w:val="00402AFE"/>
    <w:rsid w:val="004103C5"/>
    <w:rsid w:val="00412EC6"/>
    <w:rsid w:val="00416C19"/>
    <w:rsid w:val="004219E6"/>
    <w:rsid w:val="00421B08"/>
    <w:rsid w:val="00422EBD"/>
    <w:rsid w:val="00423185"/>
    <w:rsid w:val="00424E54"/>
    <w:rsid w:val="00434BC1"/>
    <w:rsid w:val="00440A4A"/>
    <w:rsid w:val="00453C3C"/>
    <w:rsid w:val="00455D8C"/>
    <w:rsid w:val="00456FF5"/>
    <w:rsid w:val="00470FBC"/>
    <w:rsid w:val="004757E2"/>
    <w:rsid w:val="004957DF"/>
    <w:rsid w:val="00495D7B"/>
    <w:rsid w:val="004B355D"/>
    <w:rsid w:val="004B505A"/>
    <w:rsid w:val="004B6992"/>
    <w:rsid w:val="004C455D"/>
    <w:rsid w:val="004D053E"/>
    <w:rsid w:val="004D40B8"/>
    <w:rsid w:val="004D7D2B"/>
    <w:rsid w:val="004F235C"/>
    <w:rsid w:val="004F6496"/>
    <w:rsid w:val="00501527"/>
    <w:rsid w:val="005065FC"/>
    <w:rsid w:val="00511C4D"/>
    <w:rsid w:val="00516A3C"/>
    <w:rsid w:val="00531E3A"/>
    <w:rsid w:val="005339EE"/>
    <w:rsid w:val="00535F62"/>
    <w:rsid w:val="00540D97"/>
    <w:rsid w:val="00551442"/>
    <w:rsid w:val="005541BC"/>
    <w:rsid w:val="005620BC"/>
    <w:rsid w:val="00562B62"/>
    <w:rsid w:val="00567C82"/>
    <w:rsid w:val="00573AE7"/>
    <w:rsid w:val="0057409E"/>
    <w:rsid w:val="00577625"/>
    <w:rsid w:val="005835E4"/>
    <w:rsid w:val="00585A21"/>
    <w:rsid w:val="005A1259"/>
    <w:rsid w:val="005A3754"/>
    <w:rsid w:val="005A3940"/>
    <w:rsid w:val="005A54DF"/>
    <w:rsid w:val="005A56B3"/>
    <w:rsid w:val="005A6F3E"/>
    <w:rsid w:val="005B50E5"/>
    <w:rsid w:val="005D2641"/>
    <w:rsid w:val="005D7DFF"/>
    <w:rsid w:val="005E0A7C"/>
    <w:rsid w:val="005E1951"/>
    <w:rsid w:val="005E6BCA"/>
    <w:rsid w:val="005F1080"/>
    <w:rsid w:val="005F32A4"/>
    <w:rsid w:val="00600887"/>
    <w:rsid w:val="00601545"/>
    <w:rsid w:val="00616034"/>
    <w:rsid w:val="006172B7"/>
    <w:rsid w:val="00623C4F"/>
    <w:rsid w:val="006316EF"/>
    <w:rsid w:val="00633609"/>
    <w:rsid w:val="00642B4A"/>
    <w:rsid w:val="00662E8A"/>
    <w:rsid w:val="006703FA"/>
    <w:rsid w:val="00680E2D"/>
    <w:rsid w:val="00686B31"/>
    <w:rsid w:val="00693AA4"/>
    <w:rsid w:val="006A3806"/>
    <w:rsid w:val="006F2593"/>
    <w:rsid w:val="006F506B"/>
    <w:rsid w:val="00716336"/>
    <w:rsid w:val="00716577"/>
    <w:rsid w:val="00716BF6"/>
    <w:rsid w:val="007234D9"/>
    <w:rsid w:val="00730C46"/>
    <w:rsid w:val="00741AD5"/>
    <w:rsid w:val="0074319E"/>
    <w:rsid w:val="00750311"/>
    <w:rsid w:val="00752A39"/>
    <w:rsid w:val="00757E34"/>
    <w:rsid w:val="007633BC"/>
    <w:rsid w:val="007637C6"/>
    <w:rsid w:val="00764D0C"/>
    <w:rsid w:val="00765282"/>
    <w:rsid w:val="00771041"/>
    <w:rsid w:val="00774293"/>
    <w:rsid w:val="00781D96"/>
    <w:rsid w:val="00797997"/>
    <w:rsid w:val="007A0EF4"/>
    <w:rsid w:val="007A575F"/>
    <w:rsid w:val="007B58DE"/>
    <w:rsid w:val="007B62B4"/>
    <w:rsid w:val="007C3F08"/>
    <w:rsid w:val="007C740E"/>
    <w:rsid w:val="007F3220"/>
    <w:rsid w:val="007F6224"/>
    <w:rsid w:val="007F7159"/>
    <w:rsid w:val="00804997"/>
    <w:rsid w:val="00813433"/>
    <w:rsid w:val="00814D2B"/>
    <w:rsid w:val="008229BB"/>
    <w:rsid w:val="00824460"/>
    <w:rsid w:val="00824DFE"/>
    <w:rsid w:val="00826F2B"/>
    <w:rsid w:val="00850666"/>
    <w:rsid w:val="008543A2"/>
    <w:rsid w:val="00872169"/>
    <w:rsid w:val="00873E44"/>
    <w:rsid w:val="008805C9"/>
    <w:rsid w:val="00883240"/>
    <w:rsid w:val="008A22A4"/>
    <w:rsid w:val="008A6C67"/>
    <w:rsid w:val="008B3790"/>
    <w:rsid w:val="008B5293"/>
    <w:rsid w:val="008B715C"/>
    <w:rsid w:val="008B7A72"/>
    <w:rsid w:val="008D5CEA"/>
    <w:rsid w:val="008E10F3"/>
    <w:rsid w:val="008F0F94"/>
    <w:rsid w:val="008F3079"/>
    <w:rsid w:val="008F45D5"/>
    <w:rsid w:val="008F4DD7"/>
    <w:rsid w:val="008F71CD"/>
    <w:rsid w:val="009173B6"/>
    <w:rsid w:val="0091794C"/>
    <w:rsid w:val="00921829"/>
    <w:rsid w:val="00922C77"/>
    <w:rsid w:val="00924F30"/>
    <w:rsid w:val="0093032F"/>
    <w:rsid w:val="009347E3"/>
    <w:rsid w:val="00935000"/>
    <w:rsid w:val="00935144"/>
    <w:rsid w:val="00946AAC"/>
    <w:rsid w:val="009557F5"/>
    <w:rsid w:val="0095666E"/>
    <w:rsid w:val="00962532"/>
    <w:rsid w:val="00962B11"/>
    <w:rsid w:val="00972509"/>
    <w:rsid w:val="00972CC5"/>
    <w:rsid w:val="00973700"/>
    <w:rsid w:val="00991116"/>
    <w:rsid w:val="00991DE7"/>
    <w:rsid w:val="009966E9"/>
    <w:rsid w:val="009A031F"/>
    <w:rsid w:val="009A2FDB"/>
    <w:rsid w:val="009A3E71"/>
    <w:rsid w:val="009A4970"/>
    <w:rsid w:val="009A7770"/>
    <w:rsid w:val="009C1559"/>
    <w:rsid w:val="009C3BC3"/>
    <w:rsid w:val="009C53E0"/>
    <w:rsid w:val="009C5A3F"/>
    <w:rsid w:val="009D5655"/>
    <w:rsid w:val="009E1FB5"/>
    <w:rsid w:val="009E663A"/>
    <w:rsid w:val="009E7F7E"/>
    <w:rsid w:val="009F4598"/>
    <w:rsid w:val="009F5BAB"/>
    <w:rsid w:val="009F5C4C"/>
    <w:rsid w:val="00A07D2A"/>
    <w:rsid w:val="00A1070C"/>
    <w:rsid w:val="00A31A7E"/>
    <w:rsid w:val="00A42371"/>
    <w:rsid w:val="00A450C4"/>
    <w:rsid w:val="00A6058B"/>
    <w:rsid w:val="00A663C1"/>
    <w:rsid w:val="00A678CF"/>
    <w:rsid w:val="00A81414"/>
    <w:rsid w:val="00A85881"/>
    <w:rsid w:val="00AA4126"/>
    <w:rsid w:val="00AB053F"/>
    <w:rsid w:val="00AB2FEA"/>
    <w:rsid w:val="00AB5372"/>
    <w:rsid w:val="00AB5AD7"/>
    <w:rsid w:val="00AC7AC8"/>
    <w:rsid w:val="00AC7DFB"/>
    <w:rsid w:val="00AD073E"/>
    <w:rsid w:val="00AD0A7B"/>
    <w:rsid w:val="00AD5D49"/>
    <w:rsid w:val="00AE0BD7"/>
    <w:rsid w:val="00AE6AB2"/>
    <w:rsid w:val="00AF3335"/>
    <w:rsid w:val="00B00443"/>
    <w:rsid w:val="00B1009E"/>
    <w:rsid w:val="00B110E5"/>
    <w:rsid w:val="00B12F92"/>
    <w:rsid w:val="00B15801"/>
    <w:rsid w:val="00B208C2"/>
    <w:rsid w:val="00B22427"/>
    <w:rsid w:val="00B37E89"/>
    <w:rsid w:val="00B40375"/>
    <w:rsid w:val="00B40FB3"/>
    <w:rsid w:val="00B553A9"/>
    <w:rsid w:val="00B558E0"/>
    <w:rsid w:val="00B57EF6"/>
    <w:rsid w:val="00B60001"/>
    <w:rsid w:val="00B653CF"/>
    <w:rsid w:val="00B76F0E"/>
    <w:rsid w:val="00B91663"/>
    <w:rsid w:val="00BB4DD2"/>
    <w:rsid w:val="00BD5066"/>
    <w:rsid w:val="00BD5666"/>
    <w:rsid w:val="00BD6A0E"/>
    <w:rsid w:val="00BE0842"/>
    <w:rsid w:val="00BE1411"/>
    <w:rsid w:val="00BE220C"/>
    <w:rsid w:val="00BF0D92"/>
    <w:rsid w:val="00C003D1"/>
    <w:rsid w:val="00C05182"/>
    <w:rsid w:val="00C12F8E"/>
    <w:rsid w:val="00C23038"/>
    <w:rsid w:val="00C25385"/>
    <w:rsid w:val="00C30CB9"/>
    <w:rsid w:val="00C31F54"/>
    <w:rsid w:val="00C40346"/>
    <w:rsid w:val="00C4081C"/>
    <w:rsid w:val="00C421BA"/>
    <w:rsid w:val="00C53529"/>
    <w:rsid w:val="00C55842"/>
    <w:rsid w:val="00C66660"/>
    <w:rsid w:val="00C82931"/>
    <w:rsid w:val="00C84800"/>
    <w:rsid w:val="00C854BD"/>
    <w:rsid w:val="00C8654A"/>
    <w:rsid w:val="00C90025"/>
    <w:rsid w:val="00C905D9"/>
    <w:rsid w:val="00C921C5"/>
    <w:rsid w:val="00C95737"/>
    <w:rsid w:val="00C958DC"/>
    <w:rsid w:val="00CA0338"/>
    <w:rsid w:val="00CC223D"/>
    <w:rsid w:val="00CC6BD4"/>
    <w:rsid w:val="00CE30BA"/>
    <w:rsid w:val="00CF13A6"/>
    <w:rsid w:val="00D14284"/>
    <w:rsid w:val="00D20CA2"/>
    <w:rsid w:val="00D42B0D"/>
    <w:rsid w:val="00D46239"/>
    <w:rsid w:val="00D543C8"/>
    <w:rsid w:val="00D63EDC"/>
    <w:rsid w:val="00D70C38"/>
    <w:rsid w:val="00D712C5"/>
    <w:rsid w:val="00D77670"/>
    <w:rsid w:val="00D83965"/>
    <w:rsid w:val="00D85F1A"/>
    <w:rsid w:val="00D87951"/>
    <w:rsid w:val="00D91C0F"/>
    <w:rsid w:val="00D93861"/>
    <w:rsid w:val="00D9603E"/>
    <w:rsid w:val="00DA06D1"/>
    <w:rsid w:val="00DA287B"/>
    <w:rsid w:val="00DB263E"/>
    <w:rsid w:val="00DC0F4E"/>
    <w:rsid w:val="00DC5255"/>
    <w:rsid w:val="00DC795C"/>
    <w:rsid w:val="00DD604D"/>
    <w:rsid w:val="00DD6D47"/>
    <w:rsid w:val="00DF1342"/>
    <w:rsid w:val="00DF3744"/>
    <w:rsid w:val="00DF5409"/>
    <w:rsid w:val="00DF54D6"/>
    <w:rsid w:val="00E210BF"/>
    <w:rsid w:val="00E21B82"/>
    <w:rsid w:val="00E240E3"/>
    <w:rsid w:val="00E26A2D"/>
    <w:rsid w:val="00E34012"/>
    <w:rsid w:val="00E371AB"/>
    <w:rsid w:val="00E41025"/>
    <w:rsid w:val="00E45FA3"/>
    <w:rsid w:val="00E5087A"/>
    <w:rsid w:val="00E51FCA"/>
    <w:rsid w:val="00E54068"/>
    <w:rsid w:val="00E569AF"/>
    <w:rsid w:val="00E57493"/>
    <w:rsid w:val="00E646A0"/>
    <w:rsid w:val="00E76119"/>
    <w:rsid w:val="00E8276D"/>
    <w:rsid w:val="00E831D6"/>
    <w:rsid w:val="00E84BE6"/>
    <w:rsid w:val="00E8657C"/>
    <w:rsid w:val="00E86CC0"/>
    <w:rsid w:val="00E9054A"/>
    <w:rsid w:val="00E90BD8"/>
    <w:rsid w:val="00E91347"/>
    <w:rsid w:val="00EB172D"/>
    <w:rsid w:val="00EB52CA"/>
    <w:rsid w:val="00EC02C5"/>
    <w:rsid w:val="00EC5220"/>
    <w:rsid w:val="00EC5949"/>
    <w:rsid w:val="00EC6FDB"/>
    <w:rsid w:val="00EE1D08"/>
    <w:rsid w:val="00EF0A99"/>
    <w:rsid w:val="00EF5994"/>
    <w:rsid w:val="00F0727E"/>
    <w:rsid w:val="00F14AAE"/>
    <w:rsid w:val="00F22F72"/>
    <w:rsid w:val="00F25090"/>
    <w:rsid w:val="00F301E3"/>
    <w:rsid w:val="00F30D46"/>
    <w:rsid w:val="00F3308B"/>
    <w:rsid w:val="00F45239"/>
    <w:rsid w:val="00F5103D"/>
    <w:rsid w:val="00F5650F"/>
    <w:rsid w:val="00F80423"/>
    <w:rsid w:val="00F84E85"/>
    <w:rsid w:val="00F854E7"/>
    <w:rsid w:val="00F92409"/>
    <w:rsid w:val="00F95273"/>
    <w:rsid w:val="00FA1066"/>
    <w:rsid w:val="00FB17C0"/>
    <w:rsid w:val="00FB434A"/>
    <w:rsid w:val="00FB5EEE"/>
    <w:rsid w:val="00FB742C"/>
    <w:rsid w:val="00FC36BA"/>
    <w:rsid w:val="00FC3A1D"/>
    <w:rsid w:val="00FC7673"/>
    <w:rsid w:val="00FE4E88"/>
    <w:rsid w:val="00FF3A7D"/>
    <w:rsid w:val="00FF44F4"/>
    <w:rsid w:val="37EEE1C1"/>
    <w:rsid w:val="3DDB9086"/>
    <w:rsid w:val="3FEEE7B0"/>
    <w:rsid w:val="3FF69EF0"/>
    <w:rsid w:val="54F91A8C"/>
    <w:rsid w:val="5BDF9350"/>
    <w:rsid w:val="5FFF4FE9"/>
    <w:rsid w:val="76FFDF4A"/>
    <w:rsid w:val="7777F0A2"/>
    <w:rsid w:val="77974DF6"/>
    <w:rsid w:val="7DBBB1D2"/>
    <w:rsid w:val="7DDF3724"/>
    <w:rsid w:val="7FEFA5B4"/>
    <w:rsid w:val="7FFD5626"/>
    <w:rsid w:val="B3BDAA20"/>
    <w:rsid w:val="BEBD85D1"/>
    <w:rsid w:val="BF7B2FB0"/>
    <w:rsid w:val="DFD6DCFB"/>
    <w:rsid w:val="E3ED69A8"/>
    <w:rsid w:val="FF1DCDA0"/>
    <w:rsid w:val="FF550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3"/>
    <w:qFormat/>
    <w:uiPriority w:val="0"/>
    <w:pPr>
      <w:widowControl/>
      <w:jc w:val="left"/>
    </w:pPr>
    <w:rPr>
      <w:rFonts w:cs="宋体"/>
      <w:kern w:val="0"/>
      <w:sz w:val="24"/>
      <w:szCs w:val="24"/>
    </w:rPr>
  </w:style>
  <w:style w:type="paragraph" w:styleId="3">
    <w:name w:val="Body Text"/>
    <w:basedOn w:val="1"/>
    <w:next w:val="1"/>
    <w:link w:val="19"/>
    <w:unhideWhenUsed/>
    <w:qFormat/>
    <w:uiPriority w:val="99"/>
    <w:pPr>
      <w:widowControl/>
      <w:spacing w:after="120" w:line="276" w:lineRule="auto"/>
      <w:jc w:val="left"/>
    </w:pPr>
    <w:rPr>
      <w:kern w:val="0"/>
      <w:sz w:val="22"/>
    </w:rPr>
  </w:style>
  <w:style w:type="paragraph" w:styleId="4">
    <w:name w:val="Body Text Indent"/>
    <w:basedOn w:val="1"/>
    <w:link w:val="21"/>
    <w:semiHidden/>
    <w:unhideWhenUsed/>
    <w:qFormat/>
    <w:uiPriority w:val="99"/>
    <w:pPr>
      <w:spacing w:after="120"/>
      <w:ind w:left="420" w:leftChars="200"/>
    </w:p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rPr>
      <w:rFonts w:ascii="宋体" w:hAnsi="宋体" w:eastAsia="宋体"/>
    </w:rPr>
  </w:style>
  <w:style w:type="paragraph" w:styleId="9">
    <w:name w:val="Body Text First Indent"/>
    <w:basedOn w:val="3"/>
    <w:next w:val="10"/>
    <w:link w:val="20"/>
    <w:qFormat/>
    <w:uiPriority w:val="0"/>
    <w:pPr>
      <w:ind w:firstLine="420" w:firstLineChars="100"/>
    </w:pPr>
  </w:style>
  <w:style w:type="paragraph" w:styleId="10">
    <w:name w:val="Body Text First Indent 2"/>
    <w:basedOn w:val="4"/>
    <w:link w:val="22"/>
    <w:semiHidden/>
    <w:unhideWhenUsed/>
    <w:qFormat/>
    <w:uiPriority w:val="99"/>
    <w:pPr>
      <w:ind w:firstLine="420" w:firstLineChars="200"/>
    </w:pPr>
  </w:style>
  <w:style w:type="character" w:styleId="13">
    <w:name w:val="annotation reference"/>
    <w:basedOn w:val="12"/>
    <w:qFormat/>
    <w:uiPriority w:val="0"/>
    <w:rPr>
      <w:sz w:val="21"/>
      <w:szCs w:val="21"/>
    </w:rPr>
  </w:style>
  <w:style w:type="character" w:customStyle="1" w:styleId="14">
    <w:name w:val="页眉 Char"/>
    <w:basedOn w:val="12"/>
    <w:link w:val="7"/>
    <w:qFormat/>
    <w:uiPriority w:val="99"/>
    <w:rPr>
      <w:sz w:val="18"/>
      <w:szCs w:val="18"/>
    </w:rPr>
  </w:style>
  <w:style w:type="character" w:customStyle="1" w:styleId="15">
    <w:name w:val="页脚 Char"/>
    <w:basedOn w:val="12"/>
    <w:link w:val="6"/>
    <w:qFormat/>
    <w:uiPriority w:val="99"/>
    <w:rPr>
      <w:sz w:val="18"/>
      <w:szCs w:val="18"/>
    </w:rPr>
  </w:style>
  <w:style w:type="character" w:customStyle="1" w:styleId="16">
    <w:name w:val="批注框文本 Char"/>
    <w:basedOn w:val="12"/>
    <w:link w:val="5"/>
    <w:semiHidden/>
    <w:qFormat/>
    <w:uiPriority w:val="99"/>
    <w:rPr>
      <w:sz w:val="18"/>
      <w:szCs w:val="18"/>
    </w:rPr>
  </w:style>
  <w:style w:type="paragraph" w:styleId="17">
    <w:name w:val="List Paragraph"/>
    <w:basedOn w:val="1"/>
    <w:qFormat/>
    <w:uiPriority w:val="34"/>
    <w:pPr>
      <w:ind w:firstLine="420" w:firstLineChars="200"/>
    </w:pPr>
  </w:style>
  <w:style w:type="paragraph" w:customStyle="1" w:styleId="18">
    <w:name w:val="Table Paragraph"/>
    <w:basedOn w:val="1"/>
    <w:qFormat/>
    <w:uiPriority w:val="1"/>
    <w:rPr>
      <w:rFonts w:ascii="宋体" w:hAnsi="宋体" w:eastAsia="宋体" w:cs="宋体"/>
      <w:szCs w:val="24"/>
    </w:rPr>
  </w:style>
  <w:style w:type="character" w:customStyle="1" w:styleId="19">
    <w:name w:val="正文文本 Char"/>
    <w:basedOn w:val="12"/>
    <w:link w:val="3"/>
    <w:qFormat/>
    <w:uiPriority w:val="99"/>
    <w:rPr>
      <w:kern w:val="0"/>
      <w:sz w:val="22"/>
    </w:rPr>
  </w:style>
  <w:style w:type="character" w:customStyle="1" w:styleId="20">
    <w:name w:val="正文首行缩进 Char"/>
    <w:basedOn w:val="19"/>
    <w:link w:val="9"/>
    <w:qFormat/>
    <w:uiPriority w:val="0"/>
    <w:rPr>
      <w:kern w:val="0"/>
      <w:sz w:val="22"/>
    </w:rPr>
  </w:style>
  <w:style w:type="character" w:customStyle="1" w:styleId="21">
    <w:name w:val="正文文本缩进 Char"/>
    <w:basedOn w:val="12"/>
    <w:link w:val="4"/>
    <w:semiHidden/>
    <w:qFormat/>
    <w:uiPriority w:val="99"/>
  </w:style>
  <w:style w:type="character" w:customStyle="1" w:styleId="22">
    <w:name w:val="正文首行缩进 2 Char"/>
    <w:basedOn w:val="21"/>
    <w:link w:val="10"/>
    <w:semiHidden/>
    <w:qFormat/>
    <w:uiPriority w:val="99"/>
  </w:style>
  <w:style w:type="character" w:customStyle="1" w:styleId="23">
    <w:name w:val="批注文字 Char"/>
    <w:basedOn w:val="12"/>
    <w:link w:val="2"/>
    <w:qFormat/>
    <w:uiPriority w:val="0"/>
    <w:rPr>
      <w:rFonts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39</Pages>
  <Words>2262</Words>
  <Characters>12895</Characters>
  <Lines>107</Lines>
  <Paragraphs>30</Paragraphs>
  <TotalTime>91</TotalTime>
  <ScaleCrop>false</ScaleCrop>
  <LinksUpToDate>false</LinksUpToDate>
  <CharactersWithSpaces>15127</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2025-06-05T06:14:00Z</dcterms:created>
  <dc:creator>Windows User</dc:creator>
  <cp:lastModifiedBy>user</cp:lastModifiedBy>
  <cp:lastPrinted>2025-06-07T05:00:00Z</cp:lastPrinted>
  <dcterms:modified xsi:type="dcterms:W3CDTF">2025-06-06T19:47:46Z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ies>
</file>