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黑体" w:hAnsi="黑体" w:eastAsia="黑体" w:cs="黑体"/>
          <w:i w:val="0"/>
          <w:caps w:val="0"/>
          <w:color w:val="000000"/>
          <w:spacing w:val="0"/>
          <w:kern w:val="0"/>
          <w:sz w:val="32"/>
          <w:szCs w:val="32"/>
          <w:vertAlign w:val="baseline"/>
          <w:lang w:val="en-US" w:eastAsia="zh-CN" w:bidi="ar"/>
        </w:rPr>
      </w:pPr>
      <w:r>
        <w:rPr>
          <w:rFonts w:hint="eastAsia" w:ascii="黑体" w:hAnsi="黑体" w:eastAsia="黑体" w:cs="黑体"/>
          <w:i w:val="0"/>
          <w:caps w:val="0"/>
          <w:color w:val="000000"/>
          <w:spacing w:val="0"/>
          <w:kern w:val="0"/>
          <w:sz w:val="32"/>
          <w:szCs w:val="32"/>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仿宋" w:hAnsi="仿宋" w:eastAsia="仿宋" w:cs="仿宋"/>
          <w:i w:val="0"/>
          <w:caps w:val="0"/>
          <w:color w:val="000000"/>
          <w:spacing w:val="0"/>
          <w:sz w:val="32"/>
          <w:szCs w:val="32"/>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fldChar w:fldCharType="begin"/>
      </w:r>
      <w:r>
        <w:rPr>
          <w:rFonts w:hint="eastAsia" w:ascii="方正小标宋简体" w:hAnsi="方正小标宋简体" w:eastAsia="方正小标宋简体" w:cs="方正小标宋简体"/>
          <w:color w:val="000000"/>
          <w:kern w:val="0"/>
          <w:sz w:val="44"/>
          <w:szCs w:val="44"/>
          <w:lang w:val="en-US" w:eastAsia="zh-CN" w:bidi="ar"/>
        </w:rPr>
        <w:instrText xml:space="preserve"> HYPERLINK "http://kjj.ordos.gov.cn/xwzx2020/tzgg_129891/202110/W020211009596711051250.docx" </w:instrText>
      </w:r>
      <w:r>
        <w:rPr>
          <w:rFonts w:hint="eastAsia" w:ascii="方正小标宋简体" w:hAnsi="方正小标宋简体" w:eastAsia="方正小标宋简体" w:cs="方正小标宋简体"/>
          <w:color w:val="000000"/>
          <w:kern w:val="0"/>
          <w:sz w:val="44"/>
          <w:szCs w:val="44"/>
          <w:lang w:val="en-US" w:eastAsia="zh-CN" w:bidi="ar"/>
        </w:rPr>
        <w:fldChar w:fldCharType="separate"/>
      </w:r>
      <w:r>
        <w:rPr>
          <w:rFonts w:hint="eastAsia" w:ascii="方正小标宋简体" w:hAnsi="方正小标宋简体" w:eastAsia="方正小标宋简体" w:cs="方正小标宋简体"/>
          <w:color w:val="000000"/>
          <w:kern w:val="0"/>
          <w:sz w:val="44"/>
          <w:szCs w:val="44"/>
          <w:lang w:val="en-US" w:eastAsia="zh-CN" w:bidi="ar"/>
        </w:rPr>
        <w:t>2021年度科技合作重大专项拟立项项目公示名单</w:t>
      </w:r>
      <w:r>
        <w:rPr>
          <w:rFonts w:hint="eastAsia" w:ascii="方正小标宋简体" w:hAnsi="方正小标宋简体" w:eastAsia="方正小标宋简体" w:cs="方正小标宋简体"/>
          <w:color w:val="000000"/>
          <w:kern w:val="0"/>
          <w:sz w:val="44"/>
          <w:szCs w:val="44"/>
          <w:lang w:val="en-US" w:eastAsia="zh-CN" w:bidi="ar"/>
        </w:rPr>
        <w:fldChar w:fldCharType="end"/>
      </w:r>
      <w:bookmarkEnd w:id="0"/>
    </w:p>
    <w:tbl>
      <w:tblPr>
        <w:tblStyle w:val="4"/>
        <w:tblW w:w="1395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6"/>
        <w:gridCol w:w="4431"/>
        <w:gridCol w:w="3058"/>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trPr>
        <w:tc>
          <w:tcPr>
            <w:tcW w:w="776" w:type="dxa"/>
            <w:shd w:val="clear" w:color="auto" w:fill="auto"/>
            <w:vAlign w:val="center"/>
          </w:tcPr>
          <w:p>
            <w:pPr>
              <w:spacing w:line="360" w:lineRule="auto"/>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序号</w:t>
            </w:r>
          </w:p>
        </w:tc>
        <w:tc>
          <w:tcPr>
            <w:tcW w:w="4431" w:type="dxa"/>
            <w:shd w:val="clear" w:color="auto" w:fill="auto"/>
            <w:vAlign w:val="center"/>
          </w:tcPr>
          <w:p>
            <w:pPr>
              <w:spacing w:line="360" w:lineRule="auto"/>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项目名称</w:t>
            </w:r>
          </w:p>
        </w:tc>
        <w:tc>
          <w:tcPr>
            <w:tcW w:w="3058" w:type="dxa"/>
            <w:shd w:val="clear" w:color="auto" w:fill="auto"/>
            <w:vAlign w:val="center"/>
          </w:tcPr>
          <w:p>
            <w:pPr>
              <w:spacing w:line="360" w:lineRule="auto"/>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申报单位</w:t>
            </w:r>
          </w:p>
        </w:tc>
        <w:tc>
          <w:tcPr>
            <w:tcW w:w="5685" w:type="dxa"/>
            <w:shd w:val="clear" w:color="auto" w:fill="auto"/>
            <w:vAlign w:val="center"/>
          </w:tcPr>
          <w:p>
            <w:pPr>
              <w:spacing w:line="360" w:lineRule="auto"/>
              <w:jc w:val="center"/>
              <w:rPr>
                <w:rFonts w:hint="eastAsia" w:ascii="黑体" w:hAnsi="黑体" w:eastAsia="黑体" w:cs="黑体"/>
                <w:color w:val="000000" w:themeColor="text1"/>
                <w:kern w:val="0"/>
                <w:sz w:val="28"/>
                <w:szCs w:val="28"/>
                <w:lang w:eastAsia="zh-CN"/>
                <w14:textFill>
                  <w14:solidFill>
                    <w14:schemeClr w14:val="tx1"/>
                  </w14:solidFill>
                </w14:textFill>
              </w:rPr>
            </w:pPr>
            <w:r>
              <w:rPr>
                <w:rFonts w:hint="eastAsia" w:ascii="黑体" w:hAnsi="黑体" w:eastAsia="黑体" w:cs="黑体"/>
                <w:color w:val="000000" w:themeColor="text1"/>
                <w:kern w:val="0"/>
                <w:sz w:val="28"/>
                <w:szCs w:val="28"/>
                <w:lang w:eastAsia="zh-CN"/>
                <w14:textFill>
                  <w14:solidFill>
                    <w14:schemeClr w14:val="tx1"/>
                  </w14:solidFill>
                </w14:textFill>
              </w:rPr>
              <w:t>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合成气一步法制C2-C5低碳醇核心技术研究及中试示范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久泰能源（准格尔）有限公司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内蒙古大学、北京化工大学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2</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煤矿高盐水深部地质封存技术研究与示范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内蒙古鄂尔多斯永煤矿业有限公司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中国煤炭地质总局勘查研究总院、内蒙古工业大学、中建环能（山东）环境科技有限公司、中国矿业大学（北京）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3</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rPr>
            </w:pPr>
            <w:r>
              <w:rPr>
                <w:rFonts w:hint="eastAsia" w:ascii="仿宋_GB2312" w:hAnsi="仿宋_GB2312" w:eastAsia="仿宋_GB2312" w:cs="仿宋_GB2312"/>
                <w:i w:val="0"/>
                <w:iCs w:val="0"/>
                <w:color w:val="000000"/>
                <w:kern w:val="0"/>
                <w:sz w:val="28"/>
                <w:szCs w:val="28"/>
                <w:u w:val="none"/>
                <w:lang w:val="en-US" w:eastAsia="zh-CN" w:bidi="ar"/>
              </w:rPr>
              <w:t>煤基石脑油高效转化制烯烃和高辛烷值汽油组分技术</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中科合成油内蒙古有限公司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内蒙古大学</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中科合成油技术股份有限公司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4</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煤基格尔伯特醇高效制备技术的研究与示范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内蒙古伊诺新材料有限公司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四川大学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5</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鄂尔多斯市盐碱地生态治理关键技术研究与技术集成示范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杭锦旗农牧技术推广中心</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内蒙古农业大学、中国农业科学院草原所、内蒙古自治区农牧业科学院、内蒙古自治区农牧业技术推广中心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6</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鄂尔多斯市露天煤矿复垦区生态系统碳储量评估体系构建与碳汇提升技术研究与示范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内蒙古自治区鄂尔多斯生态环境监测站</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北京林业大学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7</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新型无铅储能陶瓷电容器的应用基础研究和产业化示范项目</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鄂尔多斯应用技术学院</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西安交通大学、内蒙古科技大学、内蒙古建能兴辉陶瓷有限公司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8</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复合侵蚀区荒漠化综合防治技术研究与示范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鄂尔多斯市水利事业发展中心</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内蒙古大学</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中国科学院西北生态环境资源研究院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9</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大容量低压快速响应氢储能系统关键技术研发及应用示范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鄂尔多斯应用技术学院</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安泰环境工程技术有限公司、内蒙古潮科气体科技有限公司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10</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达拉特旗林草绿色高效养殖及林光互补治沙项目</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绿能碳汇（集团）有限公司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中国农业科学院草原研究所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绿色矿山分布式多能互补集成优化关键技术研究与示范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内蒙古恒东集团汇隆煤炭有限责任公司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中国建筑科学研究院有限公司、内蒙古工业大学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12</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准格尔旗矿区排土场活土层构建关键技术研发与示范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i w:val="0"/>
                <w:iCs w:val="0"/>
                <w:color w:val="000000"/>
                <w:kern w:val="0"/>
                <w:sz w:val="28"/>
                <w:szCs w:val="28"/>
                <w:u w:val="none"/>
                <w:lang w:val="en-US" w:eastAsia="zh-CN" w:bidi="ar"/>
              </w:rPr>
              <w:t>准格尔旗矿区事业发展中心</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中国矿业大学、准格尔旗金正泰煤炭有限责任公司、内蒙古伊泰煤炭股份有限公司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13</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农牧业废弃物循环利用的高效生物有机肥研发与示范应用</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内蒙古恒盛环保科技工程有限公司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76" w:type="dxa"/>
            <w:shd w:val="clear" w:color="auto" w:fill="auto"/>
            <w:vAlign w:val="center"/>
          </w:tcPr>
          <w:p>
            <w:pPr>
              <w:jc w:val="cente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14</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鄂尔多斯荒漠草原植被近自然恢复与土壤保育关键技术研发与示范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鄂尔多斯市林业和草原调查勘验中心</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内蒙古农业大学、中国农业科学院草原研究所、内蒙古自治区农牧业科学院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15</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黄河流域绿色矿山建设生态修复关键技术研究与示范</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鄂尔多斯市国土空间规划院</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水利部牧区水利科学研究所</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内蒙古自治区国土空间规划院</w:t>
            </w:r>
            <w:r>
              <w:rPr>
                <w:rFonts w:hint="eastAsia" w:ascii="仿宋_GB2312" w:hAnsi="仿宋_GB2312" w:cs="仿宋_GB2312"/>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内蒙古蒙草土壤科技有限责任公司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76" w:type="dxa"/>
            <w:shd w:val="clear" w:color="auto" w:fill="auto"/>
            <w:vAlign w:val="center"/>
          </w:tcPr>
          <w:p>
            <w:pPr>
              <w:jc w:val="cente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16</w:t>
            </w:r>
          </w:p>
        </w:tc>
        <w:tc>
          <w:tcPr>
            <w:tcW w:w="443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极难选煤分选过程超级旋流器及配套系统的研究与应用</w:t>
            </w:r>
          </w:p>
        </w:tc>
        <w:tc>
          <w:tcPr>
            <w:tcW w:w="3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u w:val="none"/>
                <w:lang w:val="en-US" w:eastAsia="zh-CN" w:bidi="ar"/>
              </w:rPr>
              <w:t>国能蒙西煤化工股份有限公司</w:t>
            </w:r>
          </w:p>
        </w:tc>
        <w:tc>
          <w:tcPr>
            <w:tcW w:w="56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北京国华科技集团有限公司</w:t>
            </w:r>
          </w:p>
        </w:tc>
      </w:tr>
    </w:tbl>
    <w:p>
      <w:pPr>
        <w:pStyle w:val="2"/>
        <w:rPr>
          <w:sz w:val="10"/>
          <w:szCs w:val="10"/>
        </w:rPr>
      </w:pPr>
    </w:p>
    <w:sectPr>
      <w:pgSz w:w="16838" w:h="11906" w:orient="landscape"/>
      <w:pgMar w:top="1480" w:right="1440" w:bottom="14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163F9"/>
    <w:rsid w:val="01887C17"/>
    <w:rsid w:val="11B20C52"/>
    <w:rsid w:val="2427640F"/>
    <w:rsid w:val="34F83E52"/>
    <w:rsid w:val="624E4B67"/>
    <w:rsid w:val="79B1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1289</Words>
  <Characters>1340</Characters>
  <Lines>0</Lines>
  <Paragraphs>0</Paragraphs>
  <TotalTime>15</TotalTime>
  <ScaleCrop>false</ScaleCrop>
  <LinksUpToDate>false</LinksUpToDate>
  <CharactersWithSpaces>1341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2021-12-07T08:48:00Z</dcterms:created>
  <dc:creator>杨宏宾</dc:creator>
  <cp:lastModifiedBy>Administrator</cp:lastModifiedBy>
  <cp:lastPrinted>2021-12-07T09:16:00Z</cp:lastPrinted>
  <dcterms:modified xsi:type="dcterms:W3CDTF">2021-12-07T10:24:36Z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4C9ABB4CF5CA42E284522436300480A4</vt:lpwstr>
  </property>
</Properties>
</file>